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9BF89"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A"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B"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C"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D"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E"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F"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0"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1"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2"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3" w14:textId="77777777" w:rsidR="00431648" w:rsidRDefault="00000000">
      <w:pPr>
        <w:tabs>
          <w:tab w:val="left" w:pos="1170"/>
        </w:tabs>
        <w:spacing w:line="360" w:lineRule="auto"/>
        <w:jc w:val="center"/>
        <w:rPr>
          <w:rFonts w:ascii="Times New Roman" w:hAnsi="Times New Roman" w:cs="Times New Roman"/>
          <w:b/>
          <w:bCs/>
          <w:sz w:val="36"/>
          <w:szCs w:val="36"/>
        </w:rPr>
      </w:pPr>
      <w:r>
        <w:rPr>
          <w:rFonts w:ascii="Times New Roman" w:hAnsi="Times New Roman" w:cs="Times New Roman"/>
          <w:b/>
          <w:bCs/>
          <w:sz w:val="36"/>
          <w:szCs w:val="36"/>
        </w:rPr>
        <w:t>ESTUDO TÉCNICO PRELIMINAR Nº 06/2025</w:t>
      </w:r>
    </w:p>
    <w:p w14:paraId="21B9BF94"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5"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6"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7"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8"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9"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A" w14:textId="77777777" w:rsidR="00431648" w:rsidRDefault="00431648">
      <w:pPr>
        <w:suppressAutoHyphens w:val="0"/>
        <w:spacing w:line="360" w:lineRule="auto"/>
        <w:rPr>
          <w:rFonts w:ascii="Times New Roman" w:hAnsi="Times New Roman" w:cs="Times New Roman"/>
          <w:b/>
          <w:bCs/>
          <w:sz w:val="36"/>
          <w:szCs w:val="36"/>
        </w:rPr>
      </w:pPr>
    </w:p>
    <w:sdt>
      <w:sdtPr>
        <w:rPr>
          <w:rFonts w:ascii="Times New Roman" w:eastAsia="Arial" w:hAnsi="Times New Roman" w:cs="Times New Roman"/>
          <w:color w:val="auto"/>
          <w:sz w:val="22"/>
          <w:szCs w:val="22"/>
          <w:lang w:eastAsia="en-US"/>
        </w:rPr>
        <w:id w:val="-583683833"/>
        <w:docPartObj>
          <w:docPartGallery w:val="Table of Contents"/>
          <w:docPartUnique/>
        </w:docPartObj>
      </w:sdtPr>
      <w:sdtContent>
        <w:p w14:paraId="21B9BF9B" w14:textId="77777777" w:rsidR="00431648" w:rsidRDefault="00000000">
          <w:pPr>
            <w:pStyle w:val="CabealhodoSumrio1"/>
            <w:spacing w:line="360" w:lineRule="auto"/>
            <w:rPr>
              <w:rFonts w:ascii="Times New Roman" w:hAnsi="Times New Roman" w:cs="Times New Roman"/>
            </w:rPr>
          </w:pPr>
          <w:r>
            <w:rPr>
              <w:rFonts w:ascii="Times New Roman" w:hAnsi="Times New Roman" w:cs="Times New Roman"/>
            </w:rPr>
            <w:br w:type="page"/>
          </w:r>
          <w:r>
            <w:rPr>
              <w:rFonts w:ascii="Times New Roman" w:hAnsi="Times New Roman" w:cs="Times New Roman"/>
            </w:rPr>
            <w:lastRenderedPageBreak/>
            <w:t>Sumário</w:t>
          </w:r>
        </w:p>
        <w:p w14:paraId="21B9BF9C" w14:textId="77777777" w:rsidR="00431648" w:rsidRDefault="00000000">
          <w:pPr>
            <w:pStyle w:val="Sumrio1"/>
            <w:rPr>
              <w:rFonts w:ascii="Times New Roman" w:eastAsiaTheme="minorEastAsia" w:hAnsi="Times New Roman" w:cs="Times New Roman"/>
              <w:kern w:val="2"/>
              <w:sz w:val="24"/>
              <w:szCs w:val="24"/>
              <w:lang w:eastAsia="zh-CN"/>
              <w14:ligatures w14:val="standardContextual"/>
            </w:rPr>
          </w:pPr>
          <w:r>
            <w:rPr>
              <w:rFonts w:ascii="Times New Roman" w:hAnsi="Times New Roman" w:cs="Times New Roman"/>
            </w:rPr>
            <w:fldChar w:fldCharType="begin"/>
          </w:r>
          <w:r>
            <w:rPr>
              <w:rStyle w:val="Vnculodendice"/>
              <w:rFonts w:ascii="Times New Roman" w:hAnsi="Times New Roman" w:cs="Times New Roman"/>
            </w:rPr>
            <w:instrText xml:space="preserve"> TOC \z \o "1-3" \u \h</w:instrText>
          </w:r>
          <w:r>
            <w:rPr>
              <w:rStyle w:val="Vnculodendice"/>
            </w:rPr>
            <w:fldChar w:fldCharType="separate"/>
          </w:r>
          <w:hyperlink w:anchor="_Toc194397097">
            <w:r w:rsidR="00431648">
              <w:rPr>
                <w:rStyle w:val="Vnculodendice"/>
                <w:rFonts w:ascii="Times New Roman" w:hAnsi="Times New Roman" w:cs="Times New Roman"/>
              </w:rPr>
              <w:t>1.INTRODUÇÃO...........................................................................................................................................................</w:t>
            </w:r>
            <w:r w:rsidR="00431648">
              <w:rPr>
                <w:rFonts w:ascii="Times New Roman" w:hAnsi="Times New Roman" w:cs="Times New Roman"/>
              </w:rPr>
              <w:fldChar w:fldCharType="begin"/>
            </w:r>
            <w:r w:rsidR="00431648">
              <w:rPr>
                <w:rFonts w:ascii="Times New Roman" w:hAnsi="Times New Roman" w:cs="Times New Roman"/>
              </w:rPr>
              <w:instrText>PAGEREF _Toc194397097 \h</w:instrText>
            </w:r>
            <w:r w:rsidR="00431648">
              <w:rPr>
                <w:rFonts w:ascii="Times New Roman" w:hAnsi="Times New Roman" w:cs="Times New Roman"/>
              </w:rPr>
            </w:r>
            <w:r w:rsidR="00431648">
              <w:rPr>
                <w:rFonts w:ascii="Times New Roman" w:hAnsi="Times New Roman" w:cs="Times New Roman"/>
              </w:rPr>
              <w:fldChar w:fldCharType="separate"/>
            </w:r>
            <w:r w:rsidR="00431648">
              <w:rPr>
                <w:rFonts w:ascii="Times New Roman" w:hAnsi="Times New Roman" w:cs="Times New Roman"/>
              </w:rPr>
              <w:t>3</w:t>
            </w:r>
            <w:r w:rsidR="00431648">
              <w:rPr>
                <w:rFonts w:ascii="Times New Roman" w:hAnsi="Times New Roman" w:cs="Times New Roman"/>
              </w:rPr>
              <w:fldChar w:fldCharType="end"/>
            </w:r>
          </w:hyperlink>
        </w:p>
        <w:p w14:paraId="21B9BF9D"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098">
            <w:r>
              <w:rPr>
                <w:rStyle w:val="Vnculodendice"/>
                <w:rFonts w:ascii="Times New Roman" w:hAnsi="Times New Roman" w:cs="Times New Roman"/>
              </w:rPr>
              <w:t>2. DEFINIÇÃO DO OBJETO (art. 18º, §1º, INCISO “I”)............................................................................................</w:t>
            </w:r>
            <w:r>
              <w:rPr>
                <w:rFonts w:ascii="Times New Roman" w:hAnsi="Times New Roman" w:cs="Times New Roman"/>
              </w:rPr>
              <w:fldChar w:fldCharType="begin"/>
            </w:r>
            <w:r>
              <w:rPr>
                <w:rFonts w:ascii="Times New Roman" w:hAnsi="Times New Roman" w:cs="Times New Roman"/>
              </w:rPr>
              <w:instrText>PAGEREF _Toc194397098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5</w:t>
            </w:r>
            <w:r>
              <w:rPr>
                <w:rFonts w:ascii="Times New Roman" w:hAnsi="Times New Roman" w:cs="Times New Roman"/>
              </w:rPr>
              <w:fldChar w:fldCharType="end"/>
            </w:r>
          </w:hyperlink>
        </w:p>
        <w:p w14:paraId="21B9BF9E"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099">
            <w:r>
              <w:rPr>
                <w:rStyle w:val="Vnculodendice"/>
                <w:rFonts w:ascii="Times New Roman" w:hAnsi="Times New Roman" w:cs="Times New Roman"/>
              </w:rPr>
              <w:t>3. PLANO DE CONTRATAÇÃO ANUAL (art. 18º, §1º, INCISO “II”)</w:t>
            </w:r>
            <w:r>
              <w:t xml:space="preserve"> </w:t>
            </w:r>
            <w:r>
              <w:rPr>
                <w:rStyle w:val="Vnculodendice"/>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PAGEREF _Toc194397099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6</w:t>
            </w:r>
            <w:r>
              <w:rPr>
                <w:rFonts w:ascii="Times New Roman" w:hAnsi="Times New Roman" w:cs="Times New Roman"/>
              </w:rPr>
              <w:fldChar w:fldCharType="end"/>
            </w:r>
          </w:hyperlink>
        </w:p>
        <w:p w14:paraId="21B9BF9F"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100">
            <w:r>
              <w:rPr>
                <w:rStyle w:val="Vnculodendice"/>
                <w:rFonts w:ascii="Times New Roman" w:hAnsi="Times New Roman" w:cs="Times New Roman"/>
              </w:rPr>
              <w:t>4. DESCRIÇÃO DOS REQUISITOS DA CONTRATAÇÃO (art. 18º, §1º, INCISO “III”)</w:t>
            </w:r>
            <w:r>
              <w:t xml:space="preserve"> </w:t>
            </w:r>
            <w:r>
              <w:rPr>
                <w:rStyle w:val="Vnculodendice"/>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PAGEREF _Toc194397100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6</w:t>
            </w:r>
            <w:r>
              <w:rPr>
                <w:rFonts w:ascii="Times New Roman" w:hAnsi="Times New Roman" w:cs="Times New Roman"/>
              </w:rPr>
              <w:fldChar w:fldCharType="end"/>
            </w:r>
          </w:hyperlink>
        </w:p>
        <w:p w14:paraId="21B9BFA0"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101">
            <w:r>
              <w:rPr>
                <w:rStyle w:val="Vnculodendice"/>
                <w:rFonts w:ascii="Times New Roman" w:hAnsi="Times New Roman" w:cs="Times New Roman"/>
              </w:rPr>
              <w:t>5. ESTIMATIVA DAS QUANTIDADES (art. 18º, §1º, INCISO “III”)</w:t>
            </w:r>
            <w:r>
              <w:t xml:space="preserve"> </w:t>
            </w:r>
            <w:r>
              <w:rPr>
                <w:rStyle w:val="Vnculodendice"/>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PAGEREF _Toc194397101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8</w:t>
            </w:r>
            <w:r>
              <w:rPr>
                <w:rFonts w:ascii="Times New Roman" w:hAnsi="Times New Roman" w:cs="Times New Roman"/>
              </w:rPr>
              <w:fldChar w:fldCharType="end"/>
            </w:r>
          </w:hyperlink>
        </w:p>
        <w:p w14:paraId="21B9BFA1"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102">
            <w:r>
              <w:rPr>
                <w:rStyle w:val="Vnculodendice"/>
                <w:rFonts w:ascii="Times New Roman" w:hAnsi="Times New Roman" w:cs="Times New Roman"/>
              </w:rPr>
              <w:t>6. LEVANTAMENTO DE MERCADO E JUSTIFICATIVA DA ESCOLHA DO TIPO DE SOLUÇÃO A CONTRATAR (art. 18º, §1º, INCISO “V”)</w:t>
            </w:r>
            <w:r>
              <w:t xml:space="preserve"> </w:t>
            </w:r>
            <w:r>
              <w:rPr>
                <w:rStyle w:val="Vnculodendice"/>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PAGEREF _Toc194397102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9</w:t>
            </w:r>
            <w:r>
              <w:rPr>
                <w:rFonts w:ascii="Times New Roman" w:hAnsi="Times New Roman" w:cs="Times New Roman"/>
              </w:rPr>
              <w:fldChar w:fldCharType="end"/>
            </w:r>
          </w:hyperlink>
        </w:p>
        <w:p w14:paraId="21B9BFA2"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103">
            <w:r>
              <w:rPr>
                <w:rStyle w:val="Vnculodendice"/>
                <w:rFonts w:ascii="Times New Roman" w:hAnsi="Times New Roman" w:cs="Times New Roman"/>
              </w:rPr>
              <w:t>7. ESTIMATIVA DO VALOR DA CONTRATAÇÃO (art. 18º, §1º, INCISO “VI”)</w:t>
            </w:r>
            <w:r>
              <w:t xml:space="preserve"> </w:t>
            </w:r>
            <w:r>
              <w:rPr>
                <w:rStyle w:val="Vnculodendice"/>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PAGEREF _Toc194397103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10</w:t>
            </w:r>
            <w:r>
              <w:rPr>
                <w:rFonts w:ascii="Times New Roman" w:hAnsi="Times New Roman" w:cs="Times New Roman"/>
              </w:rPr>
              <w:fldChar w:fldCharType="end"/>
            </w:r>
          </w:hyperlink>
        </w:p>
        <w:p w14:paraId="21B9BFA3"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104">
            <w:r>
              <w:rPr>
                <w:rStyle w:val="Vnculodendice"/>
                <w:rFonts w:ascii="Times New Roman" w:hAnsi="Times New Roman" w:cs="Times New Roman"/>
              </w:rPr>
              <w:t>8. DESCRIÇÃO DA SOLUÇÃO COMO UM TODO (art. 18º, §1º, INCISO “VII”)</w:t>
            </w:r>
            <w:r>
              <w:t xml:space="preserve"> </w:t>
            </w:r>
            <w:r>
              <w:rPr>
                <w:rStyle w:val="Vnculodendice"/>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PAGEREF _Toc194397104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11</w:t>
            </w:r>
            <w:r>
              <w:rPr>
                <w:rFonts w:ascii="Times New Roman" w:hAnsi="Times New Roman" w:cs="Times New Roman"/>
              </w:rPr>
              <w:fldChar w:fldCharType="end"/>
            </w:r>
          </w:hyperlink>
        </w:p>
        <w:p w14:paraId="21B9BFA4"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105">
            <w:r>
              <w:rPr>
                <w:rStyle w:val="Vnculodendice"/>
                <w:rFonts w:ascii="Times New Roman" w:hAnsi="Times New Roman" w:cs="Times New Roman"/>
              </w:rPr>
              <w:t>9. JUSTIFICATIVA PARA O PARCELAMENTO OU NÃO DA SOLUÇÃO (art. 18º, §1º, INCISO “VIII”)........</w:t>
            </w:r>
            <w:r>
              <w:rPr>
                <w:rFonts w:ascii="Times New Roman" w:hAnsi="Times New Roman" w:cs="Times New Roman"/>
              </w:rPr>
              <w:fldChar w:fldCharType="begin"/>
            </w:r>
            <w:r>
              <w:rPr>
                <w:rFonts w:ascii="Times New Roman" w:hAnsi="Times New Roman" w:cs="Times New Roman"/>
              </w:rPr>
              <w:instrText>PAGEREF _Toc194397105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11</w:t>
            </w:r>
            <w:r>
              <w:rPr>
                <w:rFonts w:ascii="Times New Roman" w:hAnsi="Times New Roman" w:cs="Times New Roman"/>
              </w:rPr>
              <w:fldChar w:fldCharType="end"/>
            </w:r>
          </w:hyperlink>
        </w:p>
        <w:p w14:paraId="21B9BFA5"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106">
            <w:r>
              <w:rPr>
                <w:rStyle w:val="Vnculodendice"/>
                <w:rFonts w:ascii="Times New Roman" w:hAnsi="Times New Roman" w:cs="Times New Roman"/>
              </w:rPr>
              <w:t>10. DEMONSTRATIVO DOS RESULTADOS PRETENDIDOS (art. 18º, §1º, INCISO “IX”)...............................</w:t>
            </w:r>
            <w:r>
              <w:rPr>
                <w:rFonts w:ascii="Times New Roman" w:hAnsi="Times New Roman" w:cs="Times New Roman"/>
              </w:rPr>
              <w:fldChar w:fldCharType="begin"/>
            </w:r>
            <w:r>
              <w:rPr>
                <w:rFonts w:ascii="Times New Roman" w:hAnsi="Times New Roman" w:cs="Times New Roman"/>
              </w:rPr>
              <w:instrText>PAGEREF _Toc194397106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12</w:t>
            </w:r>
            <w:r>
              <w:rPr>
                <w:rFonts w:ascii="Times New Roman" w:hAnsi="Times New Roman" w:cs="Times New Roman"/>
              </w:rPr>
              <w:fldChar w:fldCharType="end"/>
            </w:r>
          </w:hyperlink>
        </w:p>
        <w:p w14:paraId="21B9BFA6"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107">
            <w:r>
              <w:rPr>
                <w:rStyle w:val="Vnculodendice"/>
                <w:rFonts w:ascii="Times New Roman" w:hAnsi="Times New Roman" w:cs="Times New Roman"/>
              </w:rPr>
              <w:t xml:space="preserve">11. </w:t>
            </w:r>
            <w:r>
              <w:rPr>
                <w:rStyle w:val="Vnculodendice"/>
                <w:rFonts w:ascii="Times New Roman" w:hAnsi="Times New Roman" w:cs="Times New Roman"/>
                <w:bCs/>
              </w:rPr>
              <w:t>PROVIDÊNCIAS A SEREM ADOTADAS PELA ADMINISTRAÇÃO PREVIAMENTE A CELEBRAÇÃO DO CONTRATO</w:t>
            </w:r>
            <w:r>
              <w:rPr>
                <w:rStyle w:val="Vnculodendice"/>
                <w:rFonts w:ascii="Times New Roman" w:hAnsi="Times New Roman" w:cs="Times New Roman"/>
              </w:rPr>
              <w:t xml:space="preserve"> (art. 18º, §1º, INCISO “X”).............................................................................................................</w:t>
            </w:r>
            <w:r>
              <w:rPr>
                <w:rFonts w:ascii="Times New Roman" w:hAnsi="Times New Roman" w:cs="Times New Roman"/>
              </w:rPr>
              <w:fldChar w:fldCharType="begin"/>
            </w:r>
            <w:r>
              <w:rPr>
                <w:rFonts w:ascii="Times New Roman" w:hAnsi="Times New Roman" w:cs="Times New Roman"/>
              </w:rPr>
              <w:instrText>PAGEREF _Toc194397107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hyperlink>
        </w:p>
        <w:p w14:paraId="21B9BFA7"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108">
            <w:r>
              <w:rPr>
                <w:rStyle w:val="Vnculodendice"/>
                <w:rFonts w:ascii="Times New Roman" w:hAnsi="Times New Roman" w:cs="Times New Roman"/>
              </w:rPr>
              <w:t>12. CONTRATAÇÕES CORRELATAS E/OU INTERDEPENDENTES (art. 18º, §1º, INCISO “XI”)...................</w:t>
            </w:r>
            <w:r>
              <w:rPr>
                <w:rFonts w:ascii="Times New Roman" w:hAnsi="Times New Roman" w:cs="Times New Roman"/>
              </w:rPr>
              <w:fldChar w:fldCharType="begin"/>
            </w:r>
            <w:r>
              <w:rPr>
                <w:rFonts w:ascii="Times New Roman" w:hAnsi="Times New Roman" w:cs="Times New Roman"/>
              </w:rPr>
              <w:instrText>PAGEREF _Toc194397108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14</w:t>
            </w:r>
            <w:r>
              <w:rPr>
                <w:rFonts w:ascii="Times New Roman" w:hAnsi="Times New Roman" w:cs="Times New Roman"/>
              </w:rPr>
              <w:fldChar w:fldCharType="end"/>
            </w:r>
          </w:hyperlink>
        </w:p>
        <w:p w14:paraId="21B9BFA8"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109">
            <w:r>
              <w:rPr>
                <w:rStyle w:val="Vnculodendice"/>
                <w:rFonts w:ascii="Times New Roman" w:hAnsi="Times New Roman" w:cs="Times New Roman"/>
              </w:rPr>
              <w:t>13. DESCRIÇÃO DE POSSÍVEIS IMPACTOS AMBIENTAIS (art. 18º, §1º, INCISO “XII”)................................</w:t>
            </w:r>
            <w:r>
              <w:rPr>
                <w:rFonts w:ascii="Times New Roman" w:hAnsi="Times New Roman" w:cs="Times New Roman"/>
              </w:rPr>
              <w:fldChar w:fldCharType="begin"/>
            </w:r>
            <w:r>
              <w:rPr>
                <w:rFonts w:ascii="Times New Roman" w:hAnsi="Times New Roman" w:cs="Times New Roman"/>
              </w:rPr>
              <w:instrText>PAGEREF _Toc194397109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14</w:t>
            </w:r>
            <w:r>
              <w:rPr>
                <w:rFonts w:ascii="Times New Roman" w:hAnsi="Times New Roman" w:cs="Times New Roman"/>
              </w:rPr>
              <w:fldChar w:fldCharType="end"/>
            </w:r>
          </w:hyperlink>
        </w:p>
        <w:p w14:paraId="21B9BFA9" w14:textId="77777777" w:rsidR="00431648" w:rsidRDefault="00431648">
          <w:pPr>
            <w:pStyle w:val="Sumrio1"/>
            <w:rPr>
              <w:rFonts w:ascii="Times New Roman" w:eastAsiaTheme="minorEastAsia" w:hAnsi="Times New Roman" w:cs="Times New Roman"/>
              <w:kern w:val="2"/>
              <w:sz w:val="24"/>
              <w:szCs w:val="24"/>
              <w:lang w:eastAsia="zh-CN"/>
              <w14:ligatures w14:val="standardContextual"/>
            </w:rPr>
          </w:pPr>
          <w:hyperlink w:anchor="_Toc194397110">
            <w:r>
              <w:rPr>
                <w:rStyle w:val="Vnculodendice"/>
                <w:rFonts w:ascii="Times New Roman" w:hAnsi="Times New Roman" w:cs="Times New Roman"/>
              </w:rPr>
              <w:t>14. POSICIONAMENTO CONCLUSIVO SOBRE A VIABILIDADE DA CONTRATAÇÃO (art. 18º, §1º, INCISO “XIII”)..........................................................................................................................................................................</w:t>
            </w:r>
            <w:r>
              <w:rPr>
                <w:rFonts w:ascii="Times New Roman" w:hAnsi="Times New Roman" w:cs="Times New Roman"/>
              </w:rPr>
              <w:fldChar w:fldCharType="begin"/>
            </w:r>
            <w:r>
              <w:rPr>
                <w:rFonts w:ascii="Times New Roman" w:hAnsi="Times New Roman" w:cs="Times New Roman"/>
              </w:rPr>
              <w:instrText>PAGEREF _Toc194397110 \h</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15</w:t>
            </w:r>
            <w:r>
              <w:rPr>
                <w:rFonts w:ascii="Times New Roman" w:hAnsi="Times New Roman" w:cs="Times New Roman"/>
              </w:rPr>
              <w:fldChar w:fldCharType="end"/>
            </w:r>
          </w:hyperlink>
        </w:p>
        <w:p w14:paraId="21B9BFAA" w14:textId="77777777" w:rsidR="00431648" w:rsidRDefault="00000000">
          <w:pPr>
            <w:spacing w:line="360" w:lineRule="auto"/>
            <w:rPr>
              <w:rFonts w:ascii="Times New Roman" w:hAnsi="Times New Roman" w:cs="Times New Roman"/>
            </w:rPr>
          </w:pPr>
          <w:r>
            <w:rPr>
              <w:rFonts w:ascii="Times New Roman" w:hAnsi="Times New Roman" w:cs="Times New Roman"/>
            </w:rPr>
            <w:fldChar w:fldCharType="end"/>
          </w:r>
        </w:p>
      </w:sdtContent>
    </w:sdt>
    <w:p w14:paraId="21B9BFAB" w14:textId="77777777" w:rsidR="00431648" w:rsidRDefault="00431648">
      <w:pPr>
        <w:suppressAutoHyphens w:val="0"/>
        <w:spacing w:line="360" w:lineRule="auto"/>
        <w:rPr>
          <w:rFonts w:ascii="Times New Roman" w:hAnsi="Times New Roman" w:cs="Times New Roman"/>
          <w:b/>
          <w:bCs/>
          <w:sz w:val="24"/>
          <w:szCs w:val="24"/>
        </w:rPr>
      </w:pPr>
    </w:p>
    <w:p w14:paraId="21B9BFAC"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AD" w14:textId="77777777" w:rsidR="00431648" w:rsidRDefault="00000000">
      <w:pPr>
        <w:suppressAutoHyphens w:val="0"/>
        <w:spacing w:line="360" w:lineRule="auto"/>
        <w:rPr>
          <w:rFonts w:ascii="Times New Roman" w:hAnsi="Times New Roman" w:cs="Times New Roman"/>
          <w:b/>
          <w:bCs/>
          <w:sz w:val="24"/>
          <w:szCs w:val="24"/>
        </w:rPr>
      </w:pPr>
      <w:r>
        <w:rPr>
          <w:rFonts w:ascii="Times New Roman" w:hAnsi="Times New Roman" w:cs="Times New Roman"/>
        </w:rPr>
        <w:br w:type="page"/>
      </w:r>
    </w:p>
    <w:tbl>
      <w:tblPr>
        <w:tblStyle w:val="TabeladeGradeClara1"/>
        <w:tblW w:w="10366" w:type="dxa"/>
        <w:tblLayout w:type="fixed"/>
        <w:tblLook w:val="04A0" w:firstRow="1" w:lastRow="0" w:firstColumn="1" w:lastColumn="0" w:noHBand="0" w:noVBand="1"/>
      </w:tblPr>
      <w:tblGrid>
        <w:gridCol w:w="10366"/>
      </w:tblGrid>
      <w:tr w:rsidR="00431648" w14:paraId="21B9BFAF" w14:textId="77777777">
        <w:trPr>
          <w:trHeight w:val="367"/>
        </w:trPr>
        <w:tc>
          <w:tcPr>
            <w:tcW w:w="10366" w:type="dxa"/>
            <w:shd w:val="clear" w:color="auto" w:fill="D0CECE" w:themeFill="background2" w:themeFillShade="E6"/>
            <w:vAlign w:val="center"/>
          </w:tcPr>
          <w:p w14:paraId="21B9BFAE" w14:textId="77777777" w:rsidR="00431648" w:rsidRDefault="00000000">
            <w:pPr>
              <w:pStyle w:val="Ttulo"/>
              <w:pageBreakBefore/>
              <w:spacing w:line="360" w:lineRule="auto"/>
              <w:rPr>
                <w:rFonts w:ascii="Times New Roman" w:hAnsi="Times New Roman" w:cs="Times New Roman"/>
              </w:rPr>
            </w:pPr>
            <w:bookmarkStart w:id="0" w:name="_Toc194397097"/>
            <w:r>
              <w:rPr>
                <w:rFonts w:ascii="Times New Roman" w:hAnsi="Times New Roman" w:cs="Times New Roman"/>
              </w:rPr>
              <w:lastRenderedPageBreak/>
              <w:t xml:space="preserve">1. </w:t>
            </w:r>
            <w:bookmarkEnd w:id="0"/>
            <w:r>
              <w:rPr>
                <w:rFonts w:ascii="Times New Roman" w:hAnsi="Times New Roman" w:cs="Times New Roman"/>
              </w:rPr>
              <w:t>INTRODUÇÃO</w:t>
            </w:r>
          </w:p>
        </w:tc>
      </w:tr>
    </w:tbl>
    <w:p w14:paraId="21B9BFB0" w14:textId="77777777" w:rsidR="00431648" w:rsidRDefault="00431648">
      <w:pPr>
        <w:pStyle w:val="SemEspaamento"/>
        <w:spacing w:line="360" w:lineRule="auto"/>
        <w:rPr>
          <w:rFonts w:ascii="Times New Roman" w:hAnsi="Times New Roman" w:cs="Times New Roman"/>
          <w:lang w:val="pt-BR"/>
        </w:rPr>
      </w:pPr>
    </w:p>
    <w:p w14:paraId="21B9BFB1"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lang w:val="pt-BR"/>
        </w:rPr>
        <w:tab/>
      </w:r>
      <w:r>
        <w:rPr>
          <w:rFonts w:ascii="Times New Roman" w:hAnsi="Times New Roman" w:cs="Times New Roman"/>
        </w:rPr>
        <w:t>O presente Estudo Técnico Preliminar (ETP) tem como finalidade apresentar os elementos técnicos, justificativas e requisitos necessários para a contratação de empresa especializada para a execução da obra de construção de uma Unidade de Estratégia de Saúde da Família (ESF) no Bairro Sagrada Família, no município de Rondonópolis – MT. Este documento constitui etapa inicial e essencial da fase de planejamento, subsidiando a definição adequada do objeto a ser contratado e a tomada de decisões de forma transparente, eficiente e alinhada ao interesse público.</w:t>
      </w:r>
    </w:p>
    <w:p w14:paraId="21B9BFB2"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A implantação da nova unidade de saúde visa ampliar e qualificar a oferta de atendimento à população local, contribuindo para a descentralização dos serviços de saúde, melhoria do acesso da comunidade aos atendimentos básicos e fortalecimento da atenção primária. Trata-se de uma intervenção de relevante interesse social, voltada à promoção da saúde, prevenção de doenças e melhoria da qualidade de vida dos moradores do Bairro Sagrada Família e áreas adjacentes.</w:t>
      </w:r>
    </w:p>
    <w:p w14:paraId="21B9BFB3"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O projeto será desenvolvido em conformidade com as normas técnicas vigentes, observando os princípios de acessibilidade universal, segurança dos usuários, funcionalidade dos ambientes e sustentabilidade. A execução do ESF permitirá melhores condições de trabalho às equipes de saúde, maior eficiência no atendimento à população e adequação da infraestrutura pública às demandas identificadas por meio de estudos técnicos e necessidades da comunidade.</w:t>
      </w:r>
    </w:p>
    <w:p w14:paraId="21B9BFB4" w14:textId="77777777" w:rsidR="00431648" w:rsidRDefault="00431648">
      <w:pPr>
        <w:pStyle w:val="SemEspaamento"/>
        <w:spacing w:line="360" w:lineRule="auto"/>
        <w:jc w:val="both"/>
        <w:rPr>
          <w:rFonts w:ascii="Times New Roman" w:hAnsi="Times New Roman" w:cs="Times New Roman"/>
          <w:b/>
          <w:bCs/>
          <w:lang w:val="pt-BR"/>
        </w:rPr>
      </w:pPr>
    </w:p>
    <w:p w14:paraId="21B9BFB5" w14:textId="77777777" w:rsidR="00431648" w:rsidRDefault="00000000">
      <w:pPr>
        <w:pStyle w:val="SemEspaamento"/>
        <w:spacing w:line="360" w:lineRule="auto"/>
        <w:jc w:val="both"/>
        <w:rPr>
          <w:rFonts w:ascii="Times New Roman" w:hAnsi="Times New Roman" w:cs="Times New Roman"/>
          <w:b/>
          <w:bCs/>
          <w:lang w:val="pt-BR"/>
        </w:rPr>
      </w:pPr>
      <w:r>
        <w:rPr>
          <w:rFonts w:ascii="Times New Roman" w:hAnsi="Times New Roman" w:cs="Times New Roman"/>
          <w:b/>
          <w:bCs/>
          <w:lang w:val="pt-BR"/>
        </w:rPr>
        <w:t>I. OBJETO DO ESTUDO E ESPECIFICAÇÕES GERAIS</w:t>
      </w:r>
    </w:p>
    <w:p w14:paraId="21B9BFB6" w14:textId="77777777" w:rsidR="00431648" w:rsidRDefault="00431648">
      <w:pPr>
        <w:pStyle w:val="SemEspaamento"/>
        <w:spacing w:line="360" w:lineRule="auto"/>
        <w:jc w:val="both"/>
        <w:rPr>
          <w:rFonts w:ascii="Times New Roman" w:hAnsi="Times New Roman" w:cs="Times New Roman"/>
          <w:lang w:val="pt-BR"/>
        </w:rPr>
      </w:pPr>
    </w:p>
    <w:p w14:paraId="21B9BFB7"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rPr>
        <w:t>O presente Estudo Técnico Preliminar tem como objeto a análise da viabilidade para a construção de um ESF no Município de Rondonópolis – MT, a nova unidade de saúde tem por finalidade ampliar a capacidade de atendimento à população, ofertando consultas para população do Bairro Sagrada Família e áreas adjacentes.</w:t>
      </w:r>
    </w:p>
    <w:p w14:paraId="21B9BFB8" w14:textId="77777777" w:rsidR="00431648" w:rsidRDefault="00000000">
      <w:pPr>
        <w:spacing w:line="360" w:lineRule="auto"/>
        <w:ind w:firstLine="709"/>
        <w:jc w:val="both"/>
        <w:rPr>
          <w:rFonts w:ascii="Times New Roman" w:hAnsi="Times New Roman" w:cs="Times New Roman"/>
        </w:rPr>
      </w:pPr>
      <w:r>
        <w:rPr>
          <w:rFonts w:ascii="Times New Roman" w:hAnsi="Times New Roman" w:cs="Times New Roman"/>
        </w:rPr>
        <w:t>A solução proposta contempla a construção de uma nova unidade de ESF, com criação de ambientes adequados às atividades assistenciais e administrativas, incluindo sala de esterilização, sala de expurgo, banheiros masculino, feminino e para pessoas com deficiência (PCD), copa, Depósito de Material de Limpeza (DML), sala de curativos, consultório odontológico, consultório médico, consultório de enfermagem, sala de triagem, sala de inalação e recepção, garantindo o atendimento integral às necessidades da atenção primária em saúde.</w:t>
      </w:r>
    </w:p>
    <w:p w14:paraId="21B9BFB9" w14:textId="77777777" w:rsidR="00431648" w:rsidRDefault="00000000">
      <w:pPr>
        <w:spacing w:line="360" w:lineRule="auto"/>
        <w:ind w:firstLine="709"/>
        <w:jc w:val="both"/>
        <w:rPr>
          <w:rFonts w:ascii="Times New Roman" w:hAnsi="Times New Roman" w:cs="Times New Roman"/>
        </w:rPr>
      </w:pPr>
      <w:r>
        <w:rPr>
          <w:rFonts w:ascii="Times New Roman" w:hAnsi="Times New Roman" w:cs="Times New Roman"/>
        </w:rPr>
        <w:t xml:space="preserve">A obra envolverá a execução completa de nova infraestrutura, incluindo instalações hidráulicas e elétricas, esquadrias, sanitários, divisórias, revestimentos, pintura geral e demais sistemas construtivos necessários, bem como a adoção de soluções que assegurem acessibilidade universal, segurança dos usuários e conforto ambiental, em </w:t>
      </w:r>
      <w:r>
        <w:rPr>
          <w:rFonts w:ascii="Times New Roman" w:hAnsi="Times New Roman" w:cs="Times New Roman"/>
        </w:rPr>
        <w:lastRenderedPageBreak/>
        <w:t>conformidade com as normas técnicas vigentes.</w:t>
      </w:r>
    </w:p>
    <w:p w14:paraId="21B9BFBA" w14:textId="77777777" w:rsidR="00431648" w:rsidRDefault="00000000">
      <w:pPr>
        <w:spacing w:line="360" w:lineRule="auto"/>
        <w:ind w:firstLine="709"/>
        <w:jc w:val="both"/>
        <w:rPr>
          <w:rFonts w:ascii="Times New Roman" w:hAnsi="Times New Roman" w:cs="Times New Roman"/>
        </w:rPr>
      </w:pPr>
      <w:r>
        <w:rPr>
          <w:rFonts w:ascii="Times New Roman" w:hAnsi="Times New Roman" w:cs="Times New Roman"/>
        </w:rPr>
        <w:t>A construção da nova Unidade de Estratégia de Saúde da Família no Bairro Sagrada Família tem como objetivo ampliar e qualificar o atendimento à população, proporcionando melhores condições de acesso aos serviços de saúde, adequação dos espaços às equipes multiprofissionais e fortalecimento da rede de atenção básica, contribuindo diretamente para a melhoria da qualidade de vida da comunidade atendida.</w:t>
      </w:r>
    </w:p>
    <w:p w14:paraId="21B9BFBB" w14:textId="77777777" w:rsidR="00431648" w:rsidRDefault="00431648">
      <w:pPr>
        <w:spacing w:line="360" w:lineRule="auto"/>
        <w:ind w:firstLine="709"/>
        <w:jc w:val="both"/>
        <w:rPr>
          <w:rFonts w:ascii="Times New Roman" w:hAnsi="Times New Roman" w:cs="Times New Roman"/>
        </w:rPr>
      </w:pPr>
    </w:p>
    <w:p w14:paraId="21B9BFBC"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b/>
          <w:bCs/>
          <w:lang w:val="pt-BR"/>
        </w:rPr>
        <w:t>ll. LOCALIZAÇÃO DA EXECUÇÃO DO OBJETO CONTRATUAL</w:t>
      </w:r>
    </w:p>
    <w:p w14:paraId="21B9BFBD" w14:textId="77777777" w:rsidR="00431648" w:rsidRDefault="00431648">
      <w:pPr>
        <w:pStyle w:val="SemEspaamento"/>
        <w:spacing w:line="360" w:lineRule="auto"/>
        <w:jc w:val="both"/>
        <w:rPr>
          <w:rFonts w:ascii="Times New Roman" w:hAnsi="Times New Roman" w:cs="Times New Roman"/>
        </w:rPr>
      </w:pPr>
    </w:p>
    <w:p w14:paraId="21B9BFBE" w14:textId="77777777" w:rsidR="00431648" w:rsidRDefault="00000000">
      <w:pPr>
        <w:spacing w:line="360" w:lineRule="auto"/>
        <w:ind w:firstLine="709"/>
        <w:jc w:val="both"/>
        <w:rPr>
          <w:rFonts w:ascii="Times New Roman" w:hAnsi="Times New Roman" w:cs="Times New Roman"/>
          <w:lang w:val="pt-PT"/>
        </w:rPr>
      </w:pPr>
      <w:r>
        <w:rPr>
          <w:rFonts w:ascii="Times New Roman" w:hAnsi="Times New Roman" w:cs="Times New Roman"/>
          <w:lang w:val="pt-PT"/>
        </w:rPr>
        <w:tab/>
        <w:t>A obra sera executada no Municipio de Rondonopolis-MT, na Avenida Alameda dos Cravos, no Lote 221, no Bairro Sagrada Família. O terreno destinado à construção do ESF Sagrada Família possui uma área total de 4.907,03 m².</w:t>
      </w:r>
    </w:p>
    <w:p w14:paraId="21B9BFBF" w14:textId="77777777" w:rsidR="00431648" w:rsidRDefault="00000000">
      <w:pPr>
        <w:spacing w:line="360" w:lineRule="auto"/>
        <w:ind w:firstLine="709"/>
        <w:jc w:val="both"/>
        <w:rPr>
          <w:rFonts w:ascii="Times New Roman" w:hAnsi="Times New Roman" w:cs="Times New Roman"/>
        </w:rPr>
      </w:pPr>
      <w:r>
        <w:rPr>
          <w:rFonts w:ascii="Times New Roman" w:hAnsi="Times New Roman" w:cs="Times New Roman"/>
          <w:lang w:val="pt-PT"/>
        </w:rPr>
        <w:t xml:space="preserve">A área esta situada na coordenada geografica 16°29'02"S 54°36'15"W, em região de fácil acesso e integrada à malha urbana local. </w:t>
      </w:r>
    </w:p>
    <w:p w14:paraId="21B9BFC0" w14:textId="77777777" w:rsidR="00431648" w:rsidRDefault="00431648">
      <w:pPr>
        <w:pStyle w:val="SemEspaamento"/>
        <w:spacing w:line="360" w:lineRule="auto"/>
        <w:jc w:val="both"/>
        <w:rPr>
          <w:rFonts w:ascii="Times New Roman" w:hAnsi="Times New Roman" w:cs="Times New Roman"/>
          <w:lang w:val="pt-BR"/>
        </w:rPr>
      </w:pPr>
    </w:p>
    <w:p w14:paraId="21B9BFC1" w14:textId="77777777" w:rsidR="00431648" w:rsidRDefault="00000000">
      <w:pPr>
        <w:pStyle w:val="SemEspaamento"/>
        <w:spacing w:line="360" w:lineRule="auto"/>
        <w:jc w:val="center"/>
        <w:rPr>
          <w:rFonts w:ascii="Times New Roman" w:hAnsi="Times New Roman" w:cs="Times New Roman"/>
          <w:lang w:val="pt-BR"/>
        </w:rPr>
      </w:pPr>
      <w:r>
        <w:rPr>
          <w:rFonts w:ascii="Times New Roman" w:hAnsi="Times New Roman" w:cs="Times New Roman"/>
          <w:noProof/>
          <w:lang w:val="pt-BR"/>
        </w:rPr>
        <mc:AlternateContent>
          <mc:Choice Requires="wps">
            <w:drawing>
              <wp:anchor distT="0" distB="0" distL="114300" distR="114300" simplePos="0" relativeHeight="251663360" behindDoc="0" locked="0" layoutInCell="1" allowOverlap="1" wp14:anchorId="21B9C0EE" wp14:editId="21B9C0EF">
                <wp:simplePos x="0" y="0"/>
                <wp:positionH relativeFrom="column">
                  <wp:posOffset>2653665</wp:posOffset>
                </wp:positionH>
                <wp:positionV relativeFrom="paragraph">
                  <wp:posOffset>1141730</wp:posOffset>
                </wp:positionV>
                <wp:extent cx="1249680" cy="929640"/>
                <wp:effectExtent l="19050" t="19050" r="26670" b="22860"/>
                <wp:wrapNone/>
                <wp:docPr id="1183237388" name="Retângulo 6"/>
                <wp:cNvGraphicFramePr/>
                <a:graphic xmlns:a="http://schemas.openxmlformats.org/drawingml/2006/main">
                  <a:graphicData uri="http://schemas.microsoft.com/office/word/2010/wordprocessingShape">
                    <wps:wsp>
                      <wps:cNvSpPr/>
                      <wps:spPr>
                        <a:xfrm>
                          <a:off x="0" y="0"/>
                          <a:ext cx="1249680" cy="929640"/>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Retângulo 6" o:spid="_x0000_s1026" o:spt="1" style="position:absolute;left:0pt;margin-left:208.95pt;margin-top:89.9pt;height:73.2pt;width:98.4pt;z-index:251663360;v-text-anchor:middle;mso-width-relative:page;mso-height-relative:page;" filled="f" stroked="t" coordsize="21600,21600" o:gfxdata="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nF1fRtkAAAALAQAADwAAAAAAAAABACAAAAAiAAAAZHJzL2Rvd25y&#10;ZXYueG1sUEsBAhQAFAAAAAgAh07iQFkqvXFvAgAA2AQAAA4AAAAAAAAAAQAgAAAAKAEAAGRycy9l&#10;Mm9Eb2MueG1sUEsFBgAAAAAGAAYAWQEAAAkGAAAAAA==&#10;">
                <v:fill on="f" focussize="0,0"/>
                <v:stroke weight="3pt" color="#EE0000 [3204]" miterlimit="8" joinstyle="miter"/>
                <v:imagedata o:title=""/>
                <o:lock v:ext="edit" aspectratio="f"/>
              </v:rect>
            </w:pict>
          </mc:Fallback>
        </mc:AlternateContent>
      </w:r>
      <w:r>
        <w:rPr>
          <w:rFonts w:ascii="Times New Roman" w:hAnsi="Times New Roman" w:cs="Times New Roman"/>
          <w:noProof/>
          <w:lang w:val="pt-BR"/>
        </w:rPr>
        <w:drawing>
          <wp:inline distT="0" distB="0" distL="0" distR="0" wp14:anchorId="21B9C0F0" wp14:editId="21B9C0F1">
            <wp:extent cx="3519805" cy="2780665"/>
            <wp:effectExtent l="0" t="0" r="4445" b="635"/>
            <wp:docPr id="14501649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164930" name="Imagem 1"/>
                    <pic:cNvPicPr>
                      <a:picLocks noChangeAspect="1"/>
                    </pic:cNvPicPr>
                  </pic:nvPicPr>
                  <pic:blipFill>
                    <a:blip r:embed="rId10"/>
                    <a:stretch>
                      <a:fillRect/>
                    </a:stretch>
                  </pic:blipFill>
                  <pic:spPr>
                    <a:xfrm>
                      <a:off x="0" y="0"/>
                      <a:ext cx="3524226" cy="2784015"/>
                    </a:xfrm>
                    <a:prstGeom prst="rect">
                      <a:avLst/>
                    </a:prstGeom>
                  </pic:spPr>
                </pic:pic>
              </a:graphicData>
            </a:graphic>
          </wp:inline>
        </w:drawing>
      </w:r>
    </w:p>
    <w:p w14:paraId="21B9BFC2" w14:textId="77777777" w:rsidR="00431648" w:rsidRDefault="00000000">
      <w:pPr>
        <w:pStyle w:val="SemEspaamento"/>
        <w:spacing w:line="360" w:lineRule="auto"/>
        <w:jc w:val="center"/>
        <w:rPr>
          <w:rFonts w:ascii="Times New Roman" w:hAnsi="Times New Roman" w:cs="Times New Roman"/>
          <w:sz w:val="20"/>
          <w:szCs w:val="20"/>
        </w:rPr>
      </w:pPr>
      <w:r>
        <w:rPr>
          <w:rFonts w:ascii="Times New Roman" w:hAnsi="Times New Roman" w:cs="Times New Roman"/>
          <w:b/>
          <w:bCs/>
          <w:sz w:val="20"/>
          <w:szCs w:val="20"/>
        </w:rPr>
        <w:t xml:space="preserve">Figura 1 </w:t>
      </w:r>
      <w:r>
        <w:rPr>
          <w:rFonts w:ascii="Times New Roman" w:hAnsi="Times New Roman" w:cs="Times New Roman"/>
          <w:sz w:val="20"/>
          <w:szCs w:val="20"/>
        </w:rPr>
        <w:t>– Localização da construção do ESF.</w:t>
      </w:r>
    </w:p>
    <w:p w14:paraId="21B9BFC3" w14:textId="77777777" w:rsidR="00431648" w:rsidRDefault="00000000">
      <w:pPr>
        <w:spacing w:before="115"/>
        <w:ind w:right="53"/>
        <w:jc w:val="right"/>
        <w:rPr>
          <w:sz w:val="18"/>
        </w:rPr>
      </w:pPr>
      <w:r>
        <w:rPr>
          <w:sz w:val="18"/>
        </w:rPr>
        <w:t>Fonte: Google Maps,</w:t>
      </w:r>
      <w:r>
        <w:rPr>
          <w:spacing w:val="-1"/>
          <w:sz w:val="18"/>
        </w:rPr>
        <w:t xml:space="preserve"> </w:t>
      </w:r>
      <w:r>
        <w:rPr>
          <w:spacing w:val="-2"/>
          <w:sz w:val="18"/>
        </w:rPr>
        <w:t>2025.</w:t>
      </w:r>
    </w:p>
    <w:p w14:paraId="21B9BFC4" w14:textId="77777777" w:rsidR="00431648" w:rsidRDefault="00431648">
      <w:pPr>
        <w:pStyle w:val="SemEspaamento"/>
        <w:spacing w:line="360" w:lineRule="auto"/>
        <w:jc w:val="center"/>
        <w:rPr>
          <w:rFonts w:ascii="Times New Roman" w:hAnsi="Times New Roman" w:cs="Times New Roman"/>
          <w:sz w:val="20"/>
          <w:szCs w:val="20"/>
          <w:lang w:val="pt-BR"/>
        </w:rPr>
      </w:pPr>
    </w:p>
    <w:p w14:paraId="21B9BFC5" w14:textId="77777777" w:rsidR="00431648" w:rsidRDefault="00431648">
      <w:pPr>
        <w:pStyle w:val="SemEspaamento"/>
        <w:spacing w:line="360" w:lineRule="auto"/>
        <w:jc w:val="right"/>
        <w:rPr>
          <w:rFonts w:ascii="Times New Roman" w:hAnsi="Times New Roman" w:cs="Times New Roman"/>
          <w:sz w:val="18"/>
          <w:szCs w:val="18"/>
          <w:lang w:val="pt-BR"/>
        </w:rPr>
      </w:pPr>
    </w:p>
    <w:p w14:paraId="21B9BFC6" w14:textId="77777777" w:rsidR="00431648" w:rsidRDefault="00431648">
      <w:pPr>
        <w:pStyle w:val="SemEspaamento"/>
        <w:spacing w:line="360" w:lineRule="auto"/>
        <w:jc w:val="right"/>
        <w:rPr>
          <w:rFonts w:ascii="Times New Roman" w:hAnsi="Times New Roman" w:cs="Times New Roman"/>
          <w:sz w:val="18"/>
          <w:szCs w:val="18"/>
          <w:lang w:val="pt-BR"/>
        </w:rPr>
      </w:pPr>
    </w:p>
    <w:p w14:paraId="21B9BFC7" w14:textId="77777777" w:rsidR="00431648" w:rsidRDefault="00431648">
      <w:pPr>
        <w:pStyle w:val="SemEspaamento"/>
        <w:spacing w:line="360" w:lineRule="auto"/>
        <w:jc w:val="right"/>
        <w:rPr>
          <w:rFonts w:ascii="Times New Roman" w:hAnsi="Times New Roman" w:cs="Times New Roman"/>
          <w:sz w:val="18"/>
          <w:szCs w:val="18"/>
          <w:lang w:val="pt-BR"/>
        </w:rPr>
      </w:pPr>
    </w:p>
    <w:p w14:paraId="21B9BFC8" w14:textId="77777777" w:rsidR="00431648" w:rsidRDefault="00431648">
      <w:pPr>
        <w:pStyle w:val="SemEspaamento"/>
        <w:spacing w:line="360" w:lineRule="auto"/>
        <w:jc w:val="right"/>
        <w:rPr>
          <w:rFonts w:ascii="Times New Roman" w:hAnsi="Times New Roman" w:cs="Times New Roman"/>
          <w:sz w:val="18"/>
          <w:szCs w:val="18"/>
          <w:lang w:val="pt-BR"/>
        </w:rPr>
      </w:pPr>
    </w:p>
    <w:p w14:paraId="21B9BFC9" w14:textId="77777777" w:rsidR="00431648" w:rsidRDefault="00431648">
      <w:pPr>
        <w:pStyle w:val="SemEspaamento"/>
        <w:spacing w:line="360" w:lineRule="auto"/>
        <w:jc w:val="right"/>
        <w:rPr>
          <w:rFonts w:ascii="Times New Roman" w:hAnsi="Times New Roman" w:cs="Times New Roman"/>
          <w:sz w:val="18"/>
          <w:szCs w:val="18"/>
          <w:lang w:val="pt-BR"/>
        </w:rPr>
      </w:pPr>
    </w:p>
    <w:p w14:paraId="21B9BFCA"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b/>
          <w:bCs/>
          <w:lang w:val="pt-BR"/>
        </w:rPr>
        <w:lastRenderedPageBreak/>
        <w:t>III. NATUREZA E FINALIDADE DO OBJETO CONTRATUAL</w:t>
      </w:r>
    </w:p>
    <w:p w14:paraId="21B9BFCB" w14:textId="77777777" w:rsidR="00431648" w:rsidRDefault="00431648">
      <w:pPr>
        <w:pStyle w:val="SemEspaamento"/>
        <w:spacing w:line="360" w:lineRule="auto"/>
        <w:jc w:val="both"/>
        <w:rPr>
          <w:rFonts w:ascii="Times New Roman" w:hAnsi="Times New Roman" w:cs="Times New Roman"/>
          <w:lang w:val="pt-BR"/>
        </w:rPr>
      </w:pPr>
    </w:p>
    <w:p w14:paraId="0D9B4E2E" w14:textId="77777777" w:rsidR="00704CB5" w:rsidRPr="00704CB5" w:rsidRDefault="00000000" w:rsidP="00704CB5">
      <w:pPr>
        <w:pStyle w:val="SemEspaamento"/>
        <w:spacing w:line="360" w:lineRule="auto"/>
        <w:jc w:val="both"/>
        <w:rPr>
          <w:rFonts w:ascii="Times New Roman" w:hAnsi="Times New Roman" w:cs="Times New Roman"/>
          <w:lang w:val="pt-BR"/>
        </w:rPr>
      </w:pPr>
      <w:r>
        <w:rPr>
          <w:rFonts w:ascii="Times New Roman" w:hAnsi="Times New Roman" w:cs="Times New Roman"/>
          <w:lang w:val="pt-BR"/>
        </w:rPr>
        <w:tab/>
      </w:r>
      <w:r w:rsidR="00704CB5" w:rsidRPr="00704CB5">
        <w:rPr>
          <w:rFonts w:ascii="Times New Roman" w:hAnsi="Times New Roman" w:cs="Times New Roman"/>
          <w:lang w:val="pt-BR"/>
        </w:rPr>
        <w:t>O presente Estudo Técnico Preliminar trata da contratação de obra pública para a construção de um novo ESF no município de Rondonópolis - MT. A edificação visa a ampliação da rede municipal de atenção especializada à saúde.</w:t>
      </w:r>
    </w:p>
    <w:p w14:paraId="1A12FF20" w14:textId="77777777" w:rsidR="00704CB5" w:rsidRPr="00704CB5" w:rsidRDefault="00704CB5" w:rsidP="00704CB5">
      <w:pPr>
        <w:pStyle w:val="SemEspaamento"/>
        <w:spacing w:line="360" w:lineRule="auto"/>
        <w:ind w:firstLine="720"/>
        <w:jc w:val="both"/>
        <w:rPr>
          <w:rFonts w:ascii="Times New Roman" w:hAnsi="Times New Roman" w:cs="Times New Roman"/>
          <w:lang w:val="pt-BR"/>
        </w:rPr>
      </w:pPr>
      <w:r w:rsidRPr="00704CB5">
        <w:rPr>
          <w:rFonts w:ascii="Times New Roman" w:hAnsi="Times New Roman" w:cs="Times New Roman"/>
          <w:lang w:val="pt-BR"/>
        </w:rPr>
        <w:t>Nos termos do Art. 6º, inciso XII, da Lei nº 14.133/2021, caracteriza-se como obra toda atividade que implica intervenção no meio ambiente, mediante um conjunto harmônico de ações que resultam na inovação do espaço físico da natureza ou na alteração substancial das características originais de bem imóvel.</w:t>
      </w:r>
    </w:p>
    <w:p w14:paraId="65D21BE1" w14:textId="77777777" w:rsidR="00704CB5" w:rsidRPr="00704CB5" w:rsidRDefault="00704CB5" w:rsidP="00704CB5">
      <w:pPr>
        <w:pStyle w:val="SemEspaamento"/>
        <w:spacing w:line="360" w:lineRule="auto"/>
        <w:ind w:firstLine="720"/>
        <w:jc w:val="both"/>
        <w:rPr>
          <w:rFonts w:ascii="Times New Roman" w:hAnsi="Times New Roman" w:cs="Times New Roman"/>
          <w:lang w:val="pt-BR"/>
        </w:rPr>
      </w:pPr>
      <w:r w:rsidRPr="00704CB5">
        <w:rPr>
          <w:rFonts w:ascii="Times New Roman" w:hAnsi="Times New Roman" w:cs="Times New Roman"/>
          <w:lang w:val="pt-BR"/>
        </w:rPr>
        <w:t>Adicionalmente, embora a execução da obra envolva a necessidade de profissionais habilitados com Anotação de Responsabilidade Técnica (ART), bem como o atendimento a requisitos técnicos específicos de engenharia sanitária, elétrica, hidráulica, climatização e acessibilidade, tais elementos são inerentes à execução de obras de engenharia, não descaracterizando sua natureza principal.</w:t>
      </w:r>
    </w:p>
    <w:p w14:paraId="48847BDA" w14:textId="77777777" w:rsidR="00704CB5" w:rsidRPr="00704CB5" w:rsidRDefault="00704CB5" w:rsidP="00704CB5">
      <w:pPr>
        <w:pStyle w:val="SemEspaamento"/>
        <w:spacing w:line="360" w:lineRule="auto"/>
        <w:ind w:firstLine="720"/>
        <w:jc w:val="both"/>
        <w:rPr>
          <w:rFonts w:ascii="Times New Roman" w:hAnsi="Times New Roman" w:cs="Times New Roman"/>
          <w:lang w:val="pt-BR"/>
        </w:rPr>
      </w:pPr>
      <w:r w:rsidRPr="00704CB5">
        <w:rPr>
          <w:rFonts w:ascii="Times New Roman" w:hAnsi="Times New Roman" w:cs="Times New Roman"/>
          <w:lang w:val="pt-BR"/>
        </w:rPr>
        <w:t>Portanto, a natureza do objeto é classificada como obra de engenharia, com a finalidade de dotar o município de uma estrutura moderna, eficiente, integral e humanizada para a prestação dos serviços públicos de saúde.</w:t>
      </w:r>
    </w:p>
    <w:p w14:paraId="21B9BFD0" w14:textId="1D90305E" w:rsidR="00431648" w:rsidRDefault="00431648" w:rsidP="00704CB5">
      <w:pPr>
        <w:pStyle w:val="SemEspaamento"/>
        <w:spacing w:line="360" w:lineRule="auto"/>
        <w:jc w:val="both"/>
        <w:rPr>
          <w:rFonts w:ascii="Times New Roman" w:hAnsi="Times New Roman" w:cs="Times New Roman"/>
          <w:lang w:val="pt-BR"/>
        </w:rPr>
      </w:pPr>
    </w:p>
    <w:p w14:paraId="21B9BFD1" w14:textId="77777777" w:rsidR="00431648"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BFD3" w14:textId="77777777">
        <w:trPr>
          <w:trHeight w:val="367"/>
        </w:trPr>
        <w:tc>
          <w:tcPr>
            <w:tcW w:w="10366" w:type="dxa"/>
            <w:shd w:val="clear" w:color="auto" w:fill="D0CECE" w:themeFill="background2" w:themeFillShade="E6"/>
            <w:vAlign w:val="center"/>
          </w:tcPr>
          <w:p w14:paraId="21B9BFD2" w14:textId="77777777" w:rsidR="00431648" w:rsidRDefault="00000000">
            <w:pPr>
              <w:pStyle w:val="Ttulo"/>
              <w:spacing w:line="360" w:lineRule="auto"/>
              <w:rPr>
                <w:rFonts w:ascii="Times New Roman" w:hAnsi="Times New Roman" w:cs="Times New Roman"/>
              </w:rPr>
            </w:pPr>
            <w:bookmarkStart w:id="1" w:name="_Toc193444195"/>
            <w:bookmarkStart w:id="2" w:name="_Toc194397098"/>
            <w:r>
              <w:rPr>
                <w:rFonts w:ascii="Times New Roman" w:hAnsi="Times New Roman" w:cs="Times New Roman"/>
              </w:rPr>
              <w:t>2. DEFINIÇÃO DO OBJETO (art. 18º, §1º, INCISO “I”)</w:t>
            </w:r>
            <w:bookmarkEnd w:id="1"/>
            <w:bookmarkEnd w:id="2"/>
          </w:p>
        </w:tc>
      </w:tr>
    </w:tbl>
    <w:p w14:paraId="21B9BFD4" w14:textId="77777777" w:rsidR="00431648" w:rsidRDefault="00431648">
      <w:pPr>
        <w:pStyle w:val="SemEspaamento"/>
        <w:spacing w:line="360" w:lineRule="auto"/>
        <w:jc w:val="both"/>
        <w:rPr>
          <w:rFonts w:ascii="Times New Roman" w:hAnsi="Times New Roman" w:cs="Times New Roman"/>
          <w:lang w:val="pt-BR"/>
        </w:rPr>
      </w:pPr>
    </w:p>
    <w:p w14:paraId="21B9BFD5"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da necessidade da contratação, considerado o problema a ser resolvido sob a perspectiva do interesse público. (Inciso I do § 1° do art. 18 da Lei 14.133/2021 e art. 9°, inciso I da IN 58/2022).</w:t>
      </w:r>
    </w:p>
    <w:p w14:paraId="21B9BFD6" w14:textId="77777777" w:rsidR="00431648" w:rsidRDefault="00431648">
      <w:pPr>
        <w:spacing w:line="360" w:lineRule="auto"/>
        <w:ind w:left="2835" w:right="-1"/>
        <w:jc w:val="both"/>
        <w:rPr>
          <w:rFonts w:ascii="Times New Roman" w:hAnsi="Times New Roman" w:cs="Times New Roman"/>
          <w:sz w:val="18"/>
          <w:szCs w:val="14"/>
        </w:rPr>
      </w:pPr>
    </w:p>
    <w:p w14:paraId="21B9BFD7" w14:textId="487B57F3"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lang w:val="pt-BR"/>
        </w:rPr>
        <w:tab/>
      </w:r>
      <w:r>
        <w:rPr>
          <w:rFonts w:ascii="Times New Roman" w:hAnsi="Times New Roman" w:cs="Times New Roman"/>
        </w:rPr>
        <w:t>A presente contratação tem como objeto a construção de um ESF no Munícipio de Rondonópolis – MT, com a finalidade de ampliar a rede de atendimento, promovendo uma resposta mais eficiente às necessidades de saúde da população n</w:t>
      </w:r>
      <w:r w:rsidR="005D2AB1">
        <w:rPr>
          <w:rFonts w:ascii="Times New Roman" w:hAnsi="Times New Roman" w:cs="Times New Roman"/>
          <w:lang w:val="pt-BR"/>
        </w:rPr>
        <w:t>o</w:t>
      </w:r>
      <w:r>
        <w:rPr>
          <w:rFonts w:ascii="Times New Roman" w:hAnsi="Times New Roman" w:cs="Times New Roman"/>
        </w:rPr>
        <w:t xml:space="preserve">  munícipio.</w:t>
      </w:r>
    </w:p>
    <w:p w14:paraId="21B9BFD8"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Dessa forma, a contratação da nova unidade se mostra necessária e estratégica, assegurando maior resolutividade, melhoria do fluxo de pacientes e qualificação do cuidado prestado, fortalecendo o sistema municipal de saúde em consonância com os princípios do SUS.</w:t>
      </w:r>
    </w:p>
    <w:p w14:paraId="21B9BFD9" w14:textId="77777777" w:rsidR="00431648" w:rsidRDefault="00431648">
      <w:pPr>
        <w:pStyle w:val="SemEspaamento"/>
        <w:spacing w:line="360" w:lineRule="auto"/>
        <w:ind w:firstLine="720"/>
        <w:jc w:val="both"/>
        <w:rPr>
          <w:rFonts w:ascii="Times New Roman" w:hAnsi="Times New Roman" w:cs="Times New Roman"/>
        </w:rPr>
      </w:pPr>
    </w:p>
    <w:p w14:paraId="21B9BFDA" w14:textId="77777777" w:rsidR="00431648" w:rsidRDefault="00431648">
      <w:pPr>
        <w:pStyle w:val="SemEspaamento"/>
        <w:spacing w:line="360" w:lineRule="auto"/>
        <w:ind w:firstLine="720"/>
        <w:jc w:val="both"/>
        <w:rPr>
          <w:rFonts w:ascii="Times New Roman" w:hAnsi="Times New Roman" w:cs="Times New Roman"/>
        </w:rPr>
      </w:pPr>
    </w:p>
    <w:p w14:paraId="020B3FC5" w14:textId="77777777" w:rsidR="00704CB5" w:rsidRDefault="00704CB5">
      <w:pPr>
        <w:pStyle w:val="SemEspaamento"/>
        <w:spacing w:line="360" w:lineRule="auto"/>
        <w:ind w:firstLine="720"/>
        <w:jc w:val="both"/>
        <w:rPr>
          <w:rFonts w:ascii="Times New Roman" w:hAnsi="Times New Roman" w:cs="Times New Roman"/>
        </w:rPr>
      </w:pPr>
    </w:p>
    <w:p w14:paraId="2469C3BF" w14:textId="77777777" w:rsidR="00704CB5" w:rsidRDefault="00704CB5">
      <w:pPr>
        <w:pStyle w:val="SemEspaamento"/>
        <w:spacing w:line="360" w:lineRule="auto"/>
        <w:ind w:firstLine="720"/>
        <w:jc w:val="both"/>
        <w:rPr>
          <w:rFonts w:ascii="Times New Roman" w:hAnsi="Times New Roman" w:cs="Times New Roman"/>
        </w:rPr>
      </w:pPr>
    </w:p>
    <w:p w14:paraId="21B9BFDB" w14:textId="77777777" w:rsidR="00431648" w:rsidRDefault="00431648">
      <w:pPr>
        <w:pStyle w:val="SemEspaamento"/>
        <w:spacing w:line="360" w:lineRule="auto"/>
        <w:ind w:firstLine="720"/>
        <w:jc w:val="both"/>
        <w:rPr>
          <w:rFonts w:ascii="Times New Roman" w:hAnsi="Times New Roman" w:cs="Times New Roman"/>
        </w:rPr>
      </w:pPr>
    </w:p>
    <w:tbl>
      <w:tblPr>
        <w:tblStyle w:val="TabeladeGradeClara1"/>
        <w:tblW w:w="10366" w:type="dxa"/>
        <w:tblLayout w:type="fixed"/>
        <w:tblLook w:val="04A0" w:firstRow="1" w:lastRow="0" w:firstColumn="1" w:lastColumn="0" w:noHBand="0" w:noVBand="1"/>
      </w:tblPr>
      <w:tblGrid>
        <w:gridCol w:w="10366"/>
      </w:tblGrid>
      <w:tr w:rsidR="00431648" w14:paraId="21B9BFDD" w14:textId="77777777">
        <w:trPr>
          <w:trHeight w:val="367"/>
        </w:trPr>
        <w:tc>
          <w:tcPr>
            <w:tcW w:w="10366" w:type="dxa"/>
            <w:shd w:val="clear" w:color="auto" w:fill="D0CECE" w:themeFill="background2" w:themeFillShade="E6"/>
            <w:vAlign w:val="center"/>
          </w:tcPr>
          <w:p w14:paraId="21B9BFDC" w14:textId="77777777" w:rsidR="00431648" w:rsidRDefault="00000000">
            <w:pPr>
              <w:pStyle w:val="Ttulo"/>
              <w:spacing w:line="360" w:lineRule="auto"/>
              <w:rPr>
                <w:rFonts w:ascii="Times New Roman" w:hAnsi="Times New Roman" w:cs="Times New Roman"/>
              </w:rPr>
            </w:pPr>
            <w:bookmarkStart w:id="3" w:name="_Toc194397099"/>
            <w:r>
              <w:rPr>
                <w:rFonts w:ascii="Times New Roman" w:hAnsi="Times New Roman" w:cs="Times New Roman"/>
              </w:rPr>
              <w:lastRenderedPageBreak/>
              <w:t>3. PLANO DE CONTRATAÇÃO ANUAL (art. 18º, §1º, INCISO “II”)</w:t>
            </w:r>
            <w:bookmarkEnd w:id="3"/>
          </w:p>
        </w:tc>
      </w:tr>
    </w:tbl>
    <w:p w14:paraId="21B9BFDE" w14:textId="77777777" w:rsidR="00431648" w:rsidRDefault="00431648">
      <w:pPr>
        <w:pStyle w:val="SemEspaamento"/>
        <w:spacing w:line="360" w:lineRule="auto"/>
        <w:jc w:val="both"/>
        <w:rPr>
          <w:rFonts w:ascii="Times New Roman" w:hAnsi="Times New Roman" w:cs="Times New Roman"/>
          <w:lang w:val="pt-BR"/>
        </w:rPr>
      </w:pPr>
    </w:p>
    <w:p w14:paraId="21B9BFDF"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Demonstração da previsão da contratação no plano de contratações anual, sempre que elaborado, de modo a indicar o seu alinhamento com o planejamento da Administração; (inciso II do § 1° do art. 18 da Lei 14.133/21 e art. 9°, inciso IX da IN 58/2022).</w:t>
      </w:r>
    </w:p>
    <w:p w14:paraId="21B9BFE0" w14:textId="77777777" w:rsidR="00431648" w:rsidRDefault="00431648">
      <w:pPr>
        <w:pStyle w:val="SemEspaamento"/>
        <w:spacing w:line="360" w:lineRule="auto"/>
        <w:jc w:val="both"/>
        <w:rPr>
          <w:rFonts w:ascii="Times New Roman" w:hAnsi="Times New Roman" w:cs="Times New Roman"/>
          <w:lang w:val="pt-BR"/>
        </w:rPr>
      </w:pPr>
    </w:p>
    <w:p w14:paraId="21B9BFE1"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O Plano de Contratações Anual (PCA) é uma ferramenta essencial de gestão que visa orientar e organizar as aquisições e contratações do setor público, promovendo o alinhamento entre o planejamento orçamentário e as demandas administrativas. Esse instrumento permite maior previsibilidade, controle e eficiência na aplicação dos recursos públicos.</w:t>
      </w:r>
    </w:p>
    <w:p w14:paraId="21B9BFE2" w14:textId="77777777" w:rsidR="00431648" w:rsidRDefault="00000000">
      <w:pPr>
        <w:pStyle w:val="SemEspaamento"/>
        <w:spacing w:line="360" w:lineRule="auto"/>
        <w:ind w:firstLine="720"/>
        <w:rPr>
          <w:rFonts w:ascii="Times New Roman" w:hAnsi="Times New Roman" w:cs="Times New Roman"/>
        </w:rPr>
      </w:pPr>
      <w:r>
        <w:rPr>
          <w:rFonts w:ascii="Times New Roman" w:hAnsi="Times New Roman" w:cs="Times New Roman"/>
        </w:rPr>
        <w:t xml:space="preserve">No entanto, a presente contratação — que tem como objetivo a construção de ESF em Rondonópolis — </w:t>
      </w:r>
      <w:r>
        <w:rPr>
          <w:rFonts w:ascii="Times New Roman" w:hAnsi="Times New Roman" w:cs="Times New Roman"/>
          <w:b/>
          <w:bCs/>
        </w:rPr>
        <w:t>ainda não foi inserida no PCA vigente</w:t>
      </w:r>
      <w:r>
        <w:rPr>
          <w:rFonts w:ascii="Times New Roman" w:hAnsi="Times New Roman" w:cs="Times New Roman"/>
        </w:rPr>
        <w:t>. Trata-se, contudo, de uma demanda prioritária, que surgiu a partir da constatação da necessidade de atendimento na região do bairro Sagrada Família.</w:t>
      </w:r>
    </w:p>
    <w:p w14:paraId="21B9BFE3"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Diante disso, após a conclusão deste Estudo Técnico Preliminar (ETP) e mediante a definição do valor estimado da contratação, o projeto será devidamente incluído no Plano de Contratações Anual, respeitando os trâmites legais e os princípios do planejamento público. A inclusão posterior permitirá o adequado registro orçamentário e a publicação nos meios oficiais.</w:t>
      </w:r>
    </w:p>
    <w:p w14:paraId="21B9BFE4" w14:textId="77777777" w:rsidR="00431648"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BFE6" w14:textId="77777777">
        <w:trPr>
          <w:trHeight w:val="367"/>
        </w:trPr>
        <w:tc>
          <w:tcPr>
            <w:tcW w:w="10366" w:type="dxa"/>
            <w:shd w:val="clear" w:color="auto" w:fill="D0CECE" w:themeFill="background2" w:themeFillShade="E6"/>
            <w:vAlign w:val="center"/>
          </w:tcPr>
          <w:p w14:paraId="21B9BFE5" w14:textId="77777777" w:rsidR="00431648" w:rsidRDefault="00000000">
            <w:pPr>
              <w:pStyle w:val="Ttulo"/>
              <w:spacing w:line="360" w:lineRule="auto"/>
              <w:rPr>
                <w:rFonts w:ascii="Times New Roman" w:hAnsi="Times New Roman" w:cs="Times New Roman"/>
              </w:rPr>
            </w:pPr>
            <w:bookmarkStart w:id="4" w:name="_Toc194397100"/>
            <w:r>
              <w:rPr>
                <w:rFonts w:ascii="Times New Roman" w:hAnsi="Times New Roman" w:cs="Times New Roman"/>
              </w:rPr>
              <w:t>4. DESCRIÇÃO DOS REQUISITOS DA CONTRATAÇÃO (art. 18º, §1º, INCISO “III”)</w:t>
            </w:r>
            <w:bookmarkEnd w:id="4"/>
          </w:p>
        </w:tc>
      </w:tr>
    </w:tbl>
    <w:p w14:paraId="21B9BFE7" w14:textId="77777777" w:rsidR="00431648" w:rsidRDefault="00431648">
      <w:pPr>
        <w:pStyle w:val="SemEspaamento"/>
        <w:spacing w:line="360" w:lineRule="auto"/>
        <w:jc w:val="both"/>
        <w:rPr>
          <w:rFonts w:ascii="Times New Roman" w:hAnsi="Times New Roman" w:cs="Times New Roman"/>
          <w:lang w:val="pt-BR"/>
        </w:rPr>
      </w:pPr>
    </w:p>
    <w:p w14:paraId="21B9BFE8" w14:textId="77777777" w:rsidR="00431648" w:rsidRDefault="00000000">
      <w:pPr>
        <w:spacing w:line="360" w:lineRule="auto"/>
        <w:ind w:left="2835" w:right="-1"/>
        <w:jc w:val="both"/>
        <w:rPr>
          <w:rFonts w:ascii="Times New Roman" w:hAnsi="Times New Roman" w:cs="Times New Roman"/>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da necessidade da contratação, considerado o problema a ser resolvido sob a perspectiva do interesse público. (Inciso III do § 1° do art. 18 da Lei 14.133/2021 e art. 9°, inciso II da IN 58/2022).</w:t>
      </w:r>
    </w:p>
    <w:p w14:paraId="21B9BFE9" w14:textId="77777777" w:rsidR="00431648" w:rsidRDefault="00431648">
      <w:pPr>
        <w:pStyle w:val="SemEspaamento"/>
        <w:spacing w:line="360" w:lineRule="auto"/>
        <w:jc w:val="both"/>
        <w:rPr>
          <w:rFonts w:ascii="Times New Roman" w:hAnsi="Times New Roman" w:cs="Times New Roman"/>
          <w:lang w:val="pt-BR"/>
        </w:rPr>
      </w:pPr>
    </w:p>
    <w:p w14:paraId="21B9BFEA"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rPr>
        <w:tab/>
      </w:r>
      <w:r>
        <w:rPr>
          <w:rFonts w:ascii="Times New Roman" w:hAnsi="Times New Roman" w:cs="Times New Roman"/>
          <w:lang w:val="pt-BR"/>
        </w:rPr>
        <w:t xml:space="preserve">A empresa contratada deverá possuir comprovada </w:t>
      </w:r>
      <w:r>
        <w:rPr>
          <w:rFonts w:ascii="Times New Roman" w:hAnsi="Times New Roman" w:cs="Times New Roman"/>
          <w:b/>
          <w:bCs/>
          <w:lang w:val="pt-BR"/>
        </w:rPr>
        <w:t>capacitação técnica e experiência na execução de obras civis</w:t>
      </w:r>
      <w:r>
        <w:rPr>
          <w:rFonts w:ascii="Times New Roman" w:hAnsi="Times New Roman" w:cs="Times New Roman"/>
          <w:lang w:val="pt-BR"/>
        </w:rPr>
        <w:t xml:space="preserve">, conforme os serviços previstos nos </w:t>
      </w:r>
      <w:r>
        <w:rPr>
          <w:rFonts w:ascii="Times New Roman" w:hAnsi="Times New Roman" w:cs="Times New Roman"/>
          <w:b/>
          <w:bCs/>
          <w:lang w:val="pt-BR"/>
        </w:rPr>
        <w:t>projetos, memoriais descritivos e planilhas de serviços</w:t>
      </w:r>
      <w:r>
        <w:rPr>
          <w:rFonts w:ascii="Times New Roman" w:hAnsi="Times New Roman" w:cs="Times New Roman"/>
          <w:lang w:val="pt-BR"/>
        </w:rPr>
        <w:t xml:space="preserve"> a serem apresentados.</w:t>
      </w:r>
    </w:p>
    <w:p w14:paraId="21B9BFEB"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A contratação será realizada na modalidade </w:t>
      </w:r>
      <w:r>
        <w:rPr>
          <w:rFonts w:ascii="Times New Roman" w:hAnsi="Times New Roman" w:cs="Times New Roman"/>
          <w:b/>
          <w:bCs/>
          <w:lang w:val="pt-BR"/>
        </w:rPr>
        <w:t>empreitada por preço unitário</w:t>
      </w:r>
      <w:r>
        <w:rPr>
          <w:rFonts w:ascii="Times New Roman" w:hAnsi="Times New Roman" w:cs="Times New Roman"/>
          <w:lang w:val="pt-BR"/>
        </w:rPr>
        <w:t xml:space="preserve">, conforme o </w:t>
      </w:r>
      <w:r>
        <w:rPr>
          <w:rFonts w:ascii="Times New Roman" w:hAnsi="Times New Roman" w:cs="Times New Roman"/>
          <w:b/>
          <w:bCs/>
          <w:lang w:val="pt-BR"/>
        </w:rPr>
        <w:t>inciso XXVIII do art. 6º da Lei nº 14.133/2021</w:t>
      </w:r>
      <w:r>
        <w:rPr>
          <w:rFonts w:ascii="Times New Roman" w:hAnsi="Times New Roman" w:cs="Times New Roman"/>
          <w:lang w:val="pt-BR"/>
        </w:rPr>
        <w:t xml:space="preserve">, tendo em vista que os projetos e as planilhas orçamentárias serão devidamente elaborados, com </w:t>
      </w:r>
      <w:r>
        <w:rPr>
          <w:rFonts w:ascii="Times New Roman" w:hAnsi="Times New Roman" w:cs="Times New Roman"/>
          <w:b/>
          <w:bCs/>
          <w:lang w:val="pt-BR"/>
        </w:rPr>
        <w:t>quantitativos definidos</w:t>
      </w:r>
      <w:r>
        <w:rPr>
          <w:rFonts w:ascii="Times New Roman" w:hAnsi="Times New Roman" w:cs="Times New Roman"/>
          <w:lang w:val="pt-BR"/>
        </w:rPr>
        <w:t xml:space="preserve">, permitindo a </w:t>
      </w:r>
      <w:r>
        <w:rPr>
          <w:rFonts w:ascii="Times New Roman" w:hAnsi="Times New Roman" w:cs="Times New Roman"/>
          <w:b/>
          <w:bCs/>
          <w:lang w:val="pt-BR"/>
        </w:rPr>
        <w:t>fixação de um preço fechado para a execução integral da obra</w:t>
      </w:r>
      <w:r>
        <w:rPr>
          <w:rFonts w:ascii="Times New Roman" w:hAnsi="Times New Roman" w:cs="Times New Roman"/>
          <w:lang w:val="pt-BR"/>
        </w:rPr>
        <w:t>.</w:t>
      </w:r>
    </w:p>
    <w:p w14:paraId="21B9BFEC" w14:textId="77777777" w:rsidR="00431648" w:rsidRDefault="00431648">
      <w:pPr>
        <w:pStyle w:val="SemEspaamento"/>
        <w:spacing w:line="360" w:lineRule="auto"/>
        <w:jc w:val="both"/>
        <w:rPr>
          <w:rFonts w:ascii="Times New Roman" w:hAnsi="Times New Roman" w:cs="Times New Roman"/>
        </w:rPr>
      </w:pPr>
    </w:p>
    <w:p w14:paraId="21B9BFED"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b/>
          <w:bCs/>
        </w:rPr>
        <w:t>4.1. Requisitos Técnicos da Contratação</w:t>
      </w:r>
    </w:p>
    <w:p w14:paraId="21B9BFEE" w14:textId="77777777" w:rsidR="00431648" w:rsidRDefault="00431648">
      <w:pPr>
        <w:pStyle w:val="SemEspaamento"/>
        <w:spacing w:line="360" w:lineRule="auto"/>
        <w:jc w:val="both"/>
        <w:rPr>
          <w:rFonts w:ascii="Times New Roman" w:hAnsi="Times New Roman" w:cs="Times New Roman"/>
        </w:rPr>
      </w:pPr>
    </w:p>
    <w:p w14:paraId="21B9BFEF"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rPr>
        <w:lastRenderedPageBreak/>
        <w:t xml:space="preserve">- </w:t>
      </w:r>
      <w:r>
        <w:rPr>
          <w:rFonts w:ascii="Times New Roman" w:hAnsi="Times New Roman" w:cs="Times New Roman"/>
          <w:lang w:val="pt-BR"/>
        </w:rPr>
        <w:t>Os serviços a serem executados, e os materiais a serem aplicados e/ou substituídos, deverão abraçar as determinações dos projetos, dos memoriais descritivos e das especificações técnicas;</w:t>
      </w:r>
    </w:p>
    <w:p w14:paraId="21B9BFF0" w14:textId="77777777" w:rsidR="00431648" w:rsidRDefault="00431648">
      <w:pPr>
        <w:pStyle w:val="SemEspaamento"/>
        <w:spacing w:line="360" w:lineRule="auto"/>
        <w:jc w:val="both"/>
        <w:rPr>
          <w:rFonts w:ascii="Times New Roman" w:hAnsi="Times New Roman" w:cs="Times New Roman"/>
          <w:lang w:val="pt-BR"/>
        </w:rPr>
      </w:pPr>
    </w:p>
    <w:p w14:paraId="21B9BFF1"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A metodologia executiva a ser adotada, deverá estar em conformidade com as normas </w:t>
      </w:r>
      <w:r>
        <w:rPr>
          <w:rFonts w:ascii="Times New Roman" w:hAnsi="Times New Roman" w:cs="Times New Roman"/>
          <w:lang w:val="pt-BR"/>
        </w:rPr>
        <w:t>técnicas vigentes;</w:t>
      </w:r>
    </w:p>
    <w:p w14:paraId="21B9BFF2" w14:textId="77777777" w:rsidR="00431648" w:rsidRDefault="00431648">
      <w:pPr>
        <w:pStyle w:val="SemEspaamento"/>
        <w:spacing w:line="360" w:lineRule="auto"/>
        <w:jc w:val="both"/>
        <w:rPr>
          <w:rFonts w:ascii="Times New Roman" w:hAnsi="Times New Roman" w:cs="Times New Roman"/>
          <w:lang w:val="pt-BR"/>
        </w:rPr>
      </w:pPr>
    </w:p>
    <w:p w14:paraId="21B9BFF3"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A definição do orçamento e do prazo de execução da obra, estão delineados na planilha </w:t>
      </w:r>
      <w:r>
        <w:rPr>
          <w:rFonts w:ascii="Times New Roman" w:hAnsi="Times New Roman" w:cs="Times New Roman"/>
          <w:lang w:val="pt-BR"/>
        </w:rPr>
        <w:t>orçamentária e no cronograma físico-financeiro, visualizados no projeto;</w:t>
      </w:r>
    </w:p>
    <w:p w14:paraId="21B9BFF4" w14:textId="77777777" w:rsidR="00431648" w:rsidRDefault="00431648">
      <w:pPr>
        <w:pStyle w:val="SemEspaamento"/>
        <w:spacing w:line="360" w:lineRule="auto"/>
        <w:jc w:val="both"/>
        <w:rPr>
          <w:rFonts w:ascii="Times New Roman" w:hAnsi="Times New Roman" w:cs="Times New Roman"/>
          <w:lang w:val="pt-BR"/>
        </w:rPr>
      </w:pPr>
    </w:p>
    <w:p w14:paraId="21B9BFF5"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b/>
          <w:bCs/>
          <w:lang w:val="pt-BR"/>
        </w:rPr>
        <w:t>4.2. Requisitos de Sustentabilidade</w:t>
      </w:r>
    </w:p>
    <w:p w14:paraId="21B9BFF6" w14:textId="77777777" w:rsidR="00431648" w:rsidRDefault="00431648">
      <w:pPr>
        <w:pStyle w:val="SemEspaamento"/>
        <w:spacing w:line="360" w:lineRule="auto"/>
        <w:jc w:val="both"/>
        <w:rPr>
          <w:rFonts w:ascii="Times New Roman" w:hAnsi="Times New Roman" w:cs="Times New Roman"/>
          <w:lang w:val="pt-BR"/>
        </w:rPr>
      </w:pPr>
    </w:p>
    <w:p w14:paraId="21B9BFF7"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ab/>
        <w:t xml:space="preserve">A empresa contratada deverá utilizar </w:t>
      </w:r>
      <w:r>
        <w:rPr>
          <w:rFonts w:ascii="Times New Roman" w:hAnsi="Times New Roman" w:cs="Times New Roman"/>
        </w:rPr>
        <w:t xml:space="preserve">na execução da obra as boas práticas de sustentabilidade ambiental, respeitando-se, dentre outros, os critérios ambientais indicados </w:t>
      </w:r>
      <w:r>
        <w:rPr>
          <w:rFonts w:ascii="Times New Roman" w:hAnsi="Times New Roman" w:cs="Times New Roman"/>
          <w:lang w:val="pt-BR"/>
        </w:rPr>
        <w:t>abaixo:</w:t>
      </w:r>
    </w:p>
    <w:p w14:paraId="21B9BFF8" w14:textId="77777777" w:rsidR="00431648" w:rsidRDefault="00431648">
      <w:pPr>
        <w:pStyle w:val="SemEspaamento"/>
        <w:spacing w:line="360" w:lineRule="auto"/>
        <w:jc w:val="both"/>
        <w:rPr>
          <w:rFonts w:ascii="Times New Roman" w:hAnsi="Times New Roman" w:cs="Times New Roman"/>
          <w:lang w:val="pt-BR"/>
        </w:rPr>
      </w:pPr>
    </w:p>
    <w:p w14:paraId="21B9BFF9"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Uso produtos de limpeza e conservação de superfícies e objetos inanimados que </w:t>
      </w:r>
      <w:r>
        <w:rPr>
          <w:rFonts w:ascii="Times New Roman" w:hAnsi="Times New Roman" w:cs="Times New Roman"/>
          <w:lang w:val="pt-BR"/>
        </w:rPr>
        <w:t>obedeçam às classificações e especificações da ANVISA;</w:t>
      </w:r>
    </w:p>
    <w:p w14:paraId="21B9BFFA" w14:textId="77777777" w:rsidR="00431648" w:rsidRDefault="00431648">
      <w:pPr>
        <w:pStyle w:val="SemEspaamento"/>
        <w:spacing w:line="360" w:lineRule="auto"/>
        <w:jc w:val="both"/>
        <w:rPr>
          <w:rFonts w:ascii="Times New Roman" w:hAnsi="Times New Roman" w:cs="Times New Roman"/>
          <w:lang w:val="pt-BR"/>
        </w:rPr>
      </w:pPr>
    </w:p>
    <w:p w14:paraId="21B9BFFB"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Implementação de um programa de treinamento de seus empregados visando o uso </w:t>
      </w:r>
      <w:r>
        <w:rPr>
          <w:rFonts w:ascii="Times New Roman" w:hAnsi="Times New Roman" w:cs="Times New Roman"/>
          <w:lang w:val="pt-BR"/>
        </w:rPr>
        <w:t>racional de consumo de energia elétrica e água, bem como redução de resíduos sólidos;</w:t>
      </w:r>
    </w:p>
    <w:p w14:paraId="21B9BFFC" w14:textId="77777777" w:rsidR="00431648" w:rsidRDefault="00431648">
      <w:pPr>
        <w:pStyle w:val="SemEspaamento"/>
        <w:spacing w:line="360" w:lineRule="auto"/>
        <w:jc w:val="both"/>
        <w:rPr>
          <w:rFonts w:ascii="Times New Roman" w:hAnsi="Times New Roman" w:cs="Times New Roman"/>
          <w:lang w:val="pt-BR"/>
        </w:rPr>
      </w:pPr>
    </w:p>
    <w:p w14:paraId="21B9BFFD"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Sempre que possível, fazer uso de energia renovável;</w:t>
      </w:r>
    </w:p>
    <w:p w14:paraId="21B9BFFE" w14:textId="77777777" w:rsidR="00431648" w:rsidRDefault="00431648">
      <w:pPr>
        <w:pStyle w:val="SemEspaamento"/>
        <w:spacing w:line="360" w:lineRule="auto"/>
        <w:jc w:val="both"/>
        <w:rPr>
          <w:rFonts w:ascii="Times New Roman" w:hAnsi="Times New Roman" w:cs="Times New Roman"/>
          <w:lang w:val="pt-BR"/>
        </w:rPr>
      </w:pPr>
    </w:p>
    <w:p w14:paraId="21B9BFFF"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Classificação e destinação adequada dos resíduos recicláveis produzidos durante a execução dos serviços. Especificamente para papéis e latas de alumínio deve-se contatar </w:t>
      </w:r>
      <w:r>
        <w:rPr>
          <w:rFonts w:ascii="Times New Roman" w:hAnsi="Times New Roman" w:cs="Times New Roman"/>
          <w:lang w:val="pt-BR"/>
        </w:rPr>
        <w:t>as Associações e/ou Cooperativas locais de catadores de materiais recicláveis.</w:t>
      </w:r>
    </w:p>
    <w:p w14:paraId="21B9C000" w14:textId="77777777" w:rsidR="00431648" w:rsidRDefault="00431648">
      <w:pPr>
        <w:pStyle w:val="SemEspaamento"/>
        <w:spacing w:line="360" w:lineRule="auto"/>
        <w:jc w:val="both"/>
        <w:rPr>
          <w:rFonts w:ascii="Times New Roman" w:hAnsi="Times New Roman" w:cs="Times New Roman"/>
          <w:lang w:val="pt-BR"/>
        </w:rPr>
      </w:pPr>
    </w:p>
    <w:p w14:paraId="21B9C001"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Adoção e promoção de medidas de proteção para a redução ou neutralização dos riscos ocupacionais aos seus empregados, além de fornecimento de equipamentos de proteção individuais – EPIs necessários, tais como óculos, luvas, aventais, máscaras, calçados apropriados, protetores auriculares etc., fiscalizando e zelando para que os mesmos cumpram as normas e procedimentos destinados à preservação de sua integridade física;</w:t>
      </w:r>
    </w:p>
    <w:p w14:paraId="21B9C002" w14:textId="77777777" w:rsidR="00431648" w:rsidRDefault="00431648">
      <w:pPr>
        <w:pStyle w:val="SemEspaamento"/>
        <w:spacing w:line="360" w:lineRule="auto"/>
        <w:jc w:val="both"/>
        <w:rPr>
          <w:rFonts w:ascii="Times New Roman" w:hAnsi="Times New Roman" w:cs="Times New Roman"/>
          <w:lang w:val="pt-BR"/>
        </w:rPr>
      </w:pPr>
    </w:p>
    <w:p w14:paraId="21B9C003"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Atendimento aos padrões indicados pela Resolução CONAMA nº 20/1994 quando da aquisição e utilização de equipamentos de limpeza que gerem ruídos em seu funcionamento;</w:t>
      </w:r>
    </w:p>
    <w:p w14:paraId="21B9C004" w14:textId="77777777" w:rsidR="00431648" w:rsidRDefault="00431648">
      <w:pPr>
        <w:pStyle w:val="SemEspaamento"/>
        <w:spacing w:line="360" w:lineRule="auto"/>
        <w:jc w:val="both"/>
        <w:rPr>
          <w:rFonts w:ascii="Times New Roman" w:hAnsi="Times New Roman" w:cs="Times New Roman"/>
          <w:lang w:val="pt-BR"/>
        </w:rPr>
      </w:pPr>
    </w:p>
    <w:p w14:paraId="21B9C005"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Consideração nas pesquisas de preços para aquisições e serviços contemplados no escopo da contratação, empresas que tenham certificação ambiental.</w:t>
      </w:r>
    </w:p>
    <w:p w14:paraId="21B9C006" w14:textId="77777777" w:rsidR="00431648" w:rsidRDefault="00431648">
      <w:pPr>
        <w:pStyle w:val="SemEspaamento"/>
        <w:spacing w:line="360" w:lineRule="auto"/>
        <w:jc w:val="both"/>
        <w:rPr>
          <w:rFonts w:ascii="Times New Roman" w:hAnsi="Times New Roman" w:cs="Times New Roman"/>
          <w:lang w:val="pt-BR"/>
        </w:rPr>
      </w:pPr>
    </w:p>
    <w:p w14:paraId="21B9C007" w14:textId="77777777" w:rsidR="00431648" w:rsidRDefault="00431648">
      <w:pPr>
        <w:pStyle w:val="SemEspaamento"/>
        <w:spacing w:line="360" w:lineRule="auto"/>
        <w:jc w:val="both"/>
        <w:rPr>
          <w:rFonts w:ascii="Times New Roman" w:hAnsi="Times New Roman" w:cs="Times New Roman"/>
          <w:lang w:val="pt-BR"/>
        </w:rPr>
      </w:pPr>
    </w:p>
    <w:p w14:paraId="21B9C008" w14:textId="77777777" w:rsidR="00431648" w:rsidRDefault="00000000">
      <w:pPr>
        <w:pStyle w:val="SemEspaamento"/>
        <w:spacing w:line="360" w:lineRule="auto"/>
        <w:jc w:val="both"/>
        <w:rPr>
          <w:rFonts w:ascii="Times New Roman" w:hAnsi="Times New Roman" w:cs="Times New Roman"/>
          <w:b/>
          <w:bCs/>
          <w:lang w:val="pt-BR"/>
        </w:rPr>
      </w:pPr>
      <w:r>
        <w:rPr>
          <w:rFonts w:ascii="Times New Roman" w:hAnsi="Times New Roman" w:cs="Times New Roman"/>
          <w:b/>
          <w:bCs/>
          <w:lang w:val="pt-BR"/>
        </w:rPr>
        <w:t>4.3. Requisitos Normativos que Disciplinam os Serviços a Serem Contratados</w:t>
      </w:r>
    </w:p>
    <w:p w14:paraId="21B9C009" w14:textId="77777777" w:rsidR="00431648" w:rsidRDefault="00431648">
      <w:pPr>
        <w:pStyle w:val="SemEspaamento"/>
        <w:spacing w:line="360" w:lineRule="auto"/>
        <w:jc w:val="both"/>
        <w:rPr>
          <w:rFonts w:ascii="Times New Roman" w:hAnsi="Times New Roman" w:cs="Times New Roman"/>
          <w:lang w:val="pt-BR"/>
        </w:rPr>
      </w:pPr>
    </w:p>
    <w:p w14:paraId="21B9C00A"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 </w:t>
      </w:r>
      <w:hyperlink r:id="rId11">
        <w:r w:rsidR="00431648">
          <w:rPr>
            <w:rStyle w:val="LinkdaInternet"/>
            <w:rFonts w:ascii="Times New Roman" w:hAnsi="Times New Roman" w:cs="Times New Roman"/>
            <w:lang w:val="pt-BR"/>
          </w:rPr>
          <w:t>Lei nº 14.133, de 1º de abril de 2021</w:t>
        </w:r>
      </w:hyperlink>
      <w:r>
        <w:rPr>
          <w:rFonts w:ascii="Times New Roman" w:hAnsi="Times New Roman" w:cs="Times New Roman"/>
          <w:lang w:val="pt-BR"/>
        </w:rPr>
        <w:t>, Lei de Licitações e Contratos Administrativos;</w:t>
      </w:r>
    </w:p>
    <w:p w14:paraId="21B9C00B" w14:textId="77777777" w:rsidR="00431648" w:rsidRDefault="00431648">
      <w:pPr>
        <w:pStyle w:val="SemEspaamento"/>
        <w:spacing w:line="360" w:lineRule="auto"/>
        <w:jc w:val="both"/>
        <w:rPr>
          <w:rFonts w:ascii="Times New Roman" w:hAnsi="Times New Roman" w:cs="Times New Roman"/>
          <w:lang w:val="pt-BR"/>
        </w:rPr>
      </w:pPr>
    </w:p>
    <w:p w14:paraId="21B9C00C"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 </w:t>
      </w:r>
      <w:hyperlink r:id="rId12">
        <w:r w:rsidR="00431648">
          <w:rPr>
            <w:rStyle w:val="LinkdaInternet"/>
            <w:rFonts w:ascii="Times New Roman" w:hAnsi="Times New Roman" w:cs="Times New Roman"/>
          </w:rPr>
          <w:t>Decreto Municipal n° 11.685/2023</w:t>
        </w:r>
      </w:hyperlink>
      <w:r>
        <w:rPr>
          <w:rFonts w:ascii="Times New Roman" w:hAnsi="Times New Roman" w:cs="Times New Roman"/>
        </w:rPr>
        <w:t xml:space="preserve"> – Regulamenta a Lei nº 14.133/2021, no âmbito da </w:t>
      </w:r>
      <w:r>
        <w:rPr>
          <w:rFonts w:ascii="Times New Roman" w:hAnsi="Times New Roman" w:cs="Times New Roman"/>
          <w:lang w:val="pt-BR"/>
        </w:rPr>
        <w:t>Administração Pública Direta do Município de Rondonópolis-MT, suas autarquias e fundações;</w:t>
      </w:r>
    </w:p>
    <w:p w14:paraId="21B9C00D" w14:textId="77777777" w:rsidR="00431648" w:rsidRDefault="00431648">
      <w:pPr>
        <w:pStyle w:val="SemEspaamento"/>
        <w:spacing w:line="360" w:lineRule="auto"/>
        <w:jc w:val="both"/>
        <w:rPr>
          <w:rFonts w:ascii="Times New Roman" w:hAnsi="Times New Roman" w:cs="Times New Roman"/>
          <w:lang w:val="pt-BR"/>
        </w:rPr>
      </w:pPr>
    </w:p>
    <w:p w14:paraId="21B9C00E"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 </w:t>
      </w:r>
      <w:r>
        <w:rPr>
          <w:rFonts w:ascii="Times New Roman" w:hAnsi="Times New Roman" w:cs="Times New Roman"/>
        </w:rPr>
        <w:t xml:space="preserve">Normas da ABNT, Especificações de Serviço e Normas do DNIT, e das legislações pertinentes para execução de todos os serviços aplicáveis na execução da obra, inclusive </w:t>
      </w:r>
      <w:r>
        <w:rPr>
          <w:rFonts w:ascii="Times New Roman" w:hAnsi="Times New Roman" w:cs="Times New Roman"/>
          <w:lang w:val="pt-BR"/>
        </w:rPr>
        <w:t>no que tange a qualidade dos materiais.</w:t>
      </w:r>
    </w:p>
    <w:p w14:paraId="21B9C00F" w14:textId="77777777" w:rsidR="00431648"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11" w14:textId="77777777">
        <w:trPr>
          <w:trHeight w:val="367"/>
        </w:trPr>
        <w:tc>
          <w:tcPr>
            <w:tcW w:w="10366" w:type="dxa"/>
            <w:shd w:val="clear" w:color="auto" w:fill="D0CECE" w:themeFill="background2" w:themeFillShade="E6"/>
            <w:vAlign w:val="center"/>
          </w:tcPr>
          <w:p w14:paraId="21B9C010" w14:textId="77777777" w:rsidR="00431648" w:rsidRDefault="00000000">
            <w:pPr>
              <w:pStyle w:val="Ttulo"/>
              <w:spacing w:line="360" w:lineRule="auto"/>
              <w:rPr>
                <w:rFonts w:ascii="Times New Roman" w:hAnsi="Times New Roman" w:cs="Times New Roman"/>
              </w:rPr>
            </w:pPr>
            <w:bookmarkStart w:id="5" w:name="_Toc194397101"/>
            <w:r>
              <w:rPr>
                <w:rFonts w:ascii="Times New Roman" w:hAnsi="Times New Roman" w:cs="Times New Roman"/>
              </w:rPr>
              <w:t>5. ESTIMATIVA DAS QUANTIDADES (art. 18º, §1º, INCISO “III”)</w:t>
            </w:r>
            <w:bookmarkEnd w:id="5"/>
          </w:p>
        </w:tc>
      </w:tr>
    </w:tbl>
    <w:p w14:paraId="21B9C012" w14:textId="77777777" w:rsidR="00431648" w:rsidRDefault="00431648">
      <w:pPr>
        <w:pStyle w:val="SemEspaamento"/>
        <w:spacing w:line="360" w:lineRule="auto"/>
        <w:jc w:val="both"/>
        <w:rPr>
          <w:rFonts w:ascii="Times New Roman" w:hAnsi="Times New Roman" w:cs="Times New Roman"/>
          <w:lang w:val="pt-BR"/>
        </w:rPr>
      </w:pPr>
    </w:p>
    <w:p w14:paraId="21B9C013"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estimativas das quantidades para a contratação, acompanhadas das memórias de cálculo e dos documentos que lhes dão suporte, que considerem interdependências com outras contratações, de modo a possibilitar economia de escala. (Inciso IV do § 1° do art. 18 da Lei 14.133/2021).</w:t>
      </w:r>
    </w:p>
    <w:p w14:paraId="21B9C014" w14:textId="77777777" w:rsidR="00431648" w:rsidRDefault="00000000">
      <w:pPr>
        <w:spacing w:line="360" w:lineRule="auto"/>
        <w:ind w:right="-1"/>
        <w:jc w:val="both"/>
        <w:rPr>
          <w:rFonts w:ascii="Times New Roman" w:hAnsi="Times New Roman" w:cs="Times New Roman"/>
          <w:szCs w:val="18"/>
        </w:rPr>
      </w:pPr>
      <w:r>
        <w:rPr>
          <w:rFonts w:ascii="Times New Roman" w:hAnsi="Times New Roman" w:cs="Times New Roman"/>
          <w:b/>
          <w:bCs/>
          <w:szCs w:val="18"/>
        </w:rPr>
        <w:tab/>
      </w:r>
    </w:p>
    <w:p w14:paraId="21B9C015" w14:textId="77777777" w:rsidR="00431648" w:rsidRDefault="00000000">
      <w:pPr>
        <w:spacing w:line="360" w:lineRule="auto"/>
        <w:ind w:right="-1" w:firstLine="720"/>
        <w:jc w:val="both"/>
        <w:rPr>
          <w:rFonts w:ascii="Times New Roman" w:hAnsi="Times New Roman" w:cs="Times New Roman"/>
          <w:szCs w:val="18"/>
        </w:rPr>
      </w:pPr>
      <w:r>
        <w:rPr>
          <w:rFonts w:ascii="Times New Roman" w:hAnsi="Times New Roman" w:cs="Times New Roman"/>
          <w:szCs w:val="18"/>
        </w:rPr>
        <w:t>A estimativa de valor da contratação será consolidada por meio de planilha orçamentária detalhada, a ser elaborada com base nos projetos e memoriais técnicos do empreendimento. A planilha contemplará os custos diretos e indiretos, bem como a aplicação do BDI (Bonificação e Despesas Indiretas), de acordo com a complexidade da obra e as exigências legais.</w:t>
      </w:r>
    </w:p>
    <w:p w14:paraId="21B9C016" w14:textId="77777777" w:rsidR="00431648" w:rsidRDefault="00000000">
      <w:pPr>
        <w:spacing w:line="360" w:lineRule="auto"/>
        <w:ind w:right="-1" w:firstLine="720"/>
        <w:jc w:val="both"/>
        <w:rPr>
          <w:rFonts w:ascii="Times New Roman" w:hAnsi="Times New Roman" w:cs="Times New Roman"/>
          <w:szCs w:val="18"/>
        </w:rPr>
      </w:pPr>
      <w:r>
        <w:rPr>
          <w:rFonts w:ascii="Times New Roman" w:hAnsi="Times New Roman" w:cs="Times New Roman"/>
          <w:szCs w:val="18"/>
        </w:rPr>
        <w:t>As quantidades dos serviços correlacionados ao objeto a ser licitado foram obtidas a partir da análise técnica dos referidos projetos, incluindo planta arquitetônica, estrutural, elétrica, hidráulica, prevenção e combate a incêndio, entre outros, assegurando maior precisão na elaboração do orçamento e no planejamento da execução.</w:t>
      </w:r>
    </w:p>
    <w:p w14:paraId="21B9C017" w14:textId="77777777" w:rsidR="00431648" w:rsidRDefault="00000000">
      <w:pPr>
        <w:spacing w:line="360" w:lineRule="auto"/>
        <w:ind w:right="-1" w:firstLine="720"/>
        <w:jc w:val="both"/>
        <w:rPr>
          <w:rFonts w:ascii="Times New Roman" w:hAnsi="Times New Roman" w:cs="Times New Roman"/>
          <w:szCs w:val="18"/>
        </w:rPr>
      </w:pPr>
      <w:r>
        <w:rPr>
          <w:rFonts w:ascii="Times New Roman" w:hAnsi="Times New Roman" w:cs="Times New Roman"/>
          <w:szCs w:val="18"/>
        </w:rPr>
        <w:t>A edificação contará com os seguintes ambientes e estruturas principais:</w:t>
      </w:r>
    </w:p>
    <w:tbl>
      <w:tblPr>
        <w:tblW w:w="8779" w:type="dxa"/>
        <w:jc w:val="center"/>
        <w:tblCellMar>
          <w:left w:w="70" w:type="dxa"/>
          <w:right w:w="70" w:type="dxa"/>
        </w:tblCellMar>
        <w:tblLook w:val="04A0" w:firstRow="1" w:lastRow="0" w:firstColumn="1" w:lastColumn="0" w:noHBand="0" w:noVBand="1"/>
      </w:tblPr>
      <w:tblGrid>
        <w:gridCol w:w="1266"/>
        <w:gridCol w:w="7513"/>
      </w:tblGrid>
      <w:tr w:rsidR="00431648" w14:paraId="21B9C01A" w14:textId="77777777">
        <w:trPr>
          <w:trHeight w:val="690"/>
          <w:jc w:val="center"/>
        </w:trPr>
        <w:tc>
          <w:tcPr>
            <w:tcW w:w="1266" w:type="dxa"/>
            <w:tcBorders>
              <w:top w:val="single" w:sz="8" w:space="0" w:color="auto"/>
              <w:left w:val="single" w:sz="8" w:space="0" w:color="auto"/>
              <w:bottom w:val="single" w:sz="8" w:space="0" w:color="auto"/>
              <w:right w:val="single" w:sz="8" w:space="0" w:color="auto"/>
            </w:tcBorders>
            <w:shd w:val="clear" w:color="156082" w:fill="156082"/>
            <w:vAlign w:val="center"/>
          </w:tcPr>
          <w:p w14:paraId="21B9C018" w14:textId="77777777" w:rsidR="00431648" w:rsidRDefault="00000000">
            <w:pPr>
              <w:widowControl/>
              <w:suppressAutoHyphens w:val="0"/>
              <w:jc w:val="center"/>
              <w:rPr>
                <w:rFonts w:ascii="Times New Roman" w:eastAsia="Times New Roman" w:hAnsi="Times New Roman" w:cs="Times New Roman"/>
                <w:b/>
                <w:bCs/>
                <w:color w:val="FFFFFF"/>
                <w:sz w:val="18"/>
                <w:szCs w:val="18"/>
                <w:lang w:eastAsia="pt-BR"/>
              </w:rPr>
            </w:pPr>
            <w:r>
              <w:rPr>
                <w:rFonts w:ascii="Times New Roman" w:eastAsia="Times New Roman" w:hAnsi="Times New Roman" w:cs="Times New Roman"/>
                <w:b/>
                <w:bCs/>
                <w:color w:val="FFFFFF"/>
                <w:sz w:val="18"/>
                <w:szCs w:val="18"/>
                <w:lang w:eastAsia="pt-BR"/>
              </w:rPr>
              <w:t xml:space="preserve">ITEM </w:t>
            </w:r>
          </w:p>
        </w:tc>
        <w:tc>
          <w:tcPr>
            <w:tcW w:w="7513" w:type="dxa"/>
            <w:tcBorders>
              <w:top w:val="single" w:sz="8" w:space="0" w:color="auto"/>
              <w:left w:val="nil"/>
              <w:bottom w:val="single" w:sz="8" w:space="0" w:color="auto"/>
              <w:right w:val="single" w:sz="8" w:space="0" w:color="auto"/>
            </w:tcBorders>
            <w:shd w:val="clear" w:color="156082" w:fill="156082"/>
            <w:vAlign w:val="center"/>
          </w:tcPr>
          <w:p w14:paraId="21B9C019" w14:textId="77777777" w:rsidR="00431648" w:rsidRDefault="00000000">
            <w:pPr>
              <w:widowControl/>
              <w:suppressAutoHyphens w:val="0"/>
              <w:rPr>
                <w:rFonts w:ascii="Times New Roman" w:eastAsia="Times New Roman" w:hAnsi="Times New Roman" w:cs="Times New Roman"/>
                <w:b/>
                <w:bCs/>
                <w:color w:val="FFFFFF"/>
                <w:sz w:val="18"/>
                <w:szCs w:val="18"/>
                <w:lang w:eastAsia="pt-BR"/>
              </w:rPr>
            </w:pPr>
            <w:r>
              <w:rPr>
                <w:rFonts w:ascii="Times New Roman" w:eastAsia="Times New Roman" w:hAnsi="Times New Roman" w:cs="Times New Roman"/>
                <w:b/>
                <w:bCs/>
                <w:color w:val="FFFFFF"/>
                <w:sz w:val="18"/>
                <w:szCs w:val="18"/>
                <w:lang w:eastAsia="pt-BR"/>
              </w:rPr>
              <w:t>AMBIENTES PREVISTOS</w:t>
            </w:r>
          </w:p>
        </w:tc>
      </w:tr>
      <w:tr w:rsidR="00431648" w14:paraId="21B9C01D"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shd w:val="clear" w:color="auto" w:fill="D9D9D9" w:themeFill="background1" w:themeFillShade="D9"/>
            <w:noWrap/>
            <w:vAlign w:val="center"/>
          </w:tcPr>
          <w:p w14:paraId="21B9C01B"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1</w:t>
            </w:r>
          </w:p>
        </w:tc>
        <w:tc>
          <w:tcPr>
            <w:tcW w:w="7513"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21B9C01C"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SALA DE ESTERILIZAÇÃO</w:t>
            </w:r>
          </w:p>
        </w:tc>
      </w:tr>
      <w:tr w:rsidR="00431648" w14:paraId="21B9C020"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noWrap/>
            <w:vAlign w:val="center"/>
          </w:tcPr>
          <w:p w14:paraId="21B9C01E"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2</w:t>
            </w:r>
          </w:p>
        </w:tc>
        <w:tc>
          <w:tcPr>
            <w:tcW w:w="7513" w:type="dxa"/>
            <w:tcBorders>
              <w:top w:val="single" w:sz="4" w:space="0" w:color="auto"/>
              <w:left w:val="nil"/>
              <w:bottom w:val="single" w:sz="4" w:space="0" w:color="auto"/>
              <w:right w:val="single" w:sz="8" w:space="0" w:color="auto"/>
            </w:tcBorders>
            <w:vAlign w:val="center"/>
          </w:tcPr>
          <w:p w14:paraId="21B9C01F"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SALA DE EXPURGO</w:t>
            </w:r>
          </w:p>
        </w:tc>
      </w:tr>
      <w:tr w:rsidR="00431648" w14:paraId="21B9C023"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shd w:val="clear" w:color="D9D9D9" w:fill="D9D9D9"/>
            <w:noWrap/>
            <w:vAlign w:val="center"/>
          </w:tcPr>
          <w:p w14:paraId="21B9C021"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lastRenderedPageBreak/>
              <w:t>3</w:t>
            </w:r>
          </w:p>
        </w:tc>
        <w:tc>
          <w:tcPr>
            <w:tcW w:w="7513" w:type="dxa"/>
            <w:tcBorders>
              <w:top w:val="single" w:sz="4" w:space="0" w:color="auto"/>
              <w:left w:val="nil"/>
              <w:bottom w:val="single" w:sz="4" w:space="0" w:color="auto"/>
              <w:right w:val="single" w:sz="8" w:space="0" w:color="auto"/>
            </w:tcBorders>
            <w:shd w:val="clear" w:color="D9D9D9" w:fill="D9D9D9"/>
            <w:vAlign w:val="center"/>
          </w:tcPr>
          <w:p w14:paraId="21B9C022"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 xml:space="preserve">BANHEIRO MASCULINO </w:t>
            </w:r>
          </w:p>
        </w:tc>
      </w:tr>
      <w:tr w:rsidR="00431648" w14:paraId="21B9C026"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noWrap/>
            <w:vAlign w:val="center"/>
          </w:tcPr>
          <w:p w14:paraId="21B9C024"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4</w:t>
            </w:r>
          </w:p>
        </w:tc>
        <w:tc>
          <w:tcPr>
            <w:tcW w:w="7513" w:type="dxa"/>
            <w:tcBorders>
              <w:top w:val="single" w:sz="4" w:space="0" w:color="auto"/>
              <w:left w:val="nil"/>
              <w:bottom w:val="single" w:sz="4" w:space="0" w:color="auto"/>
              <w:right w:val="single" w:sz="8" w:space="0" w:color="auto"/>
            </w:tcBorders>
            <w:vAlign w:val="center"/>
          </w:tcPr>
          <w:p w14:paraId="21B9C025"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 xml:space="preserve">BANHEIRO FEMININO </w:t>
            </w:r>
          </w:p>
        </w:tc>
      </w:tr>
      <w:tr w:rsidR="00431648" w14:paraId="21B9C029"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shd w:val="clear" w:color="auto" w:fill="D9D9D9" w:themeFill="background1" w:themeFillShade="D9"/>
            <w:noWrap/>
            <w:vAlign w:val="center"/>
          </w:tcPr>
          <w:p w14:paraId="21B9C027"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5</w:t>
            </w:r>
          </w:p>
        </w:tc>
        <w:tc>
          <w:tcPr>
            <w:tcW w:w="7513"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21B9C028"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BANHEIROS PCD</w:t>
            </w:r>
          </w:p>
        </w:tc>
      </w:tr>
      <w:tr w:rsidR="00431648" w14:paraId="21B9C02C"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noWrap/>
            <w:vAlign w:val="center"/>
          </w:tcPr>
          <w:p w14:paraId="21B9C02A"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6</w:t>
            </w:r>
          </w:p>
        </w:tc>
        <w:tc>
          <w:tcPr>
            <w:tcW w:w="7513" w:type="dxa"/>
            <w:tcBorders>
              <w:top w:val="single" w:sz="4" w:space="0" w:color="auto"/>
              <w:left w:val="nil"/>
              <w:bottom w:val="single" w:sz="4" w:space="0" w:color="auto"/>
              <w:right w:val="single" w:sz="8" w:space="0" w:color="auto"/>
            </w:tcBorders>
            <w:vAlign w:val="center"/>
          </w:tcPr>
          <w:p w14:paraId="21B9C02B"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BANHEIRO FUNCIONÁRIO</w:t>
            </w:r>
          </w:p>
        </w:tc>
      </w:tr>
      <w:tr w:rsidR="00431648" w14:paraId="21B9C02F"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shd w:val="clear" w:color="auto" w:fill="D9D9D9" w:themeFill="background1" w:themeFillShade="D9"/>
            <w:noWrap/>
            <w:vAlign w:val="center"/>
          </w:tcPr>
          <w:p w14:paraId="21B9C02D"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7</w:t>
            </w:r>
          </w:p>
        </w:tc>
        <w:tc>
          <w:tcPr>
            <w:tcW w:w="7513"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21B9C02E"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COPA</w:t>
            </w:r>
          </w:p>
        </w:tc>
      </w:tr>
      <w:tr w:rsidR="00431648" w14:paraId="21B9C032"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noWrap/>
            <w:vAlign w:val="center"/>
          </w:tcPr>
          <w:p w14:paraId="21B9C030"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8</w:t>
            </w:r>
          </w:p>
        </w:tc>
        <w:tc>
          <w:tcPr>
            <w:tcW w:w="7513" w:type="dxa"/>
            <w:tcBorders>
              <w:top w:val="single" w:sz="4" w:space="0" w:color="auto"/>
              <w:left w:val="nil"/>
              <w:bottom w:val="single" w:sz="4" w:space="0" w:color="auto"/>
              <w:right w:val="single" w:sz="8" w:space="0" w:color="auto"/>
            </w:tcBorders>
            <w:vAlign w:val="center"/>
          </w:tcPr>
          <w:p w14:paraId="21B9C031"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DML</w:t>
            </w:r>
          </w:p>
        </w:tc>
      </w:tr>
      <w:tr w:rsidR="00431648" w14:paraId="21B9C035"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shd w:val="clear" w:color="auto" w:fill="D9D9D9" w:themeFill="background1" w:themeFillShade="D9"/>
            <w:noWrap/>
            <w:vAlign w:val="center"/>
          </w:tcPr>
          <w:p w14:paraId="21B9C033"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9</w:t>
            </w:r>
          </w:p>
        </w:tc>
        <w:tc>
          <w:tcPr>
            <w:tcW w:w="7513"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21B9C034"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 xml:space="preserve">SALA DE COLETA </w:t>
            </w:r>
          </w:p>
        </w:tc>
      </w:tr>
      <w:tr w:rsidR="00431648" w14:paraId="21B9C038"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noWrap/>
            <w:vAlign w:val="center"/>
          </w:tcPr>
          <w:p w14:paraId="21B9C036"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10</w:t>
            </w:r>
          </w:p>
        </w:tc>
        <w:tc>
          <w:tcPr>
            <w:tcW w:w="7513" w:type="dxa"/>
            <w:tcBorders>
              <w:top w:val="single" w:sz="4" w:space="0" w:color="auto"/>
              <w:left w:val="nil"/>
              <w:bottom w:val="single" w:sz="4" w:space="0" w:color="auto"/>
              <w:right w:val="single" w:sz="8" w:space="0" w:color="auto"/>
            </w:tcBorders>
            <w:vAlign w:val="center"/>
          </w:tcPr>
          <w:p w14:paraId="21B9C037"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CONSULTÓRIO ODONTOLÓGICO</w:t>
            </w:r>
          </w:p>
        </w:tc>
      </w:tr>
      <w:tr w:rsidR="00431648" w14:paraId="21B9C03B"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shd w:val="clear" w:color="auto" w:fill="D9D9D9" w:themeFill="background1" w:themeFillShade="D9"/>
            <w:noWrap/>
            <w:vAlign w:val="center"/>
          </w:tcPr>
          <w:p w14:paraId="21B9C039"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11</w:t>
            </w:r>
          </w:p>
        </w:tc>
        <w:tc>
          <w:tcPr>
            <w:tcW w:w="7513"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21B9C03A"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CONSULTÓRIO MÉDICO</w:t>
            </w:r>
          </w:p>
        </w:tc>
      </w:tr>
      <w:tr w:rsidR="00431648" w14:paraId="21B9C03E"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noWrap/>
            <w:vAlign w:val="center"/>
          </w:tcPr>
          <w:p w14:paraId="21B9C03C"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12</w:t>
            </w:r>
          </w:p>
        </w:tc>
        <w:tc>
          <w:tcPr>
            <w:tcW w:w="7513" w:type="dxa"/>
            <w:tcBorders>
              <w:top w:val="single" w:sz="4" w:space="0" w:color="auto"/>
              <w:left w:val="nil"/>
              <w:bottom w:val="single" w:sz="4" w:space="0" w:color="auto"/>
              <w:right w:val="single" w:sz="8" w:space="0" w:color="auto"/>
            </w:tcBorders>
            <w:vAlign w:val="center"/>
          </w:tcPr>
          <w:p w14:paraId="21B9C03D"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CONSULTÓRIO DE ENFERMAGEM</w:t>
            </w:r>
          </w:p>
        </w:tc>
      </w:tr>
      <w:tr w:rsidR="00431648" w14:paraId="21B9C041"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shd w:val="clear" w:color="auto" w:fill="D9D9D9" w:themeFill="background1" w:themeFillShade="D9"/>
            <w:noWrap/>
            <w:vAlign w:val="center"/>
          </w:tcPr>
          <w:p w14:paraId="21B9C03F"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13</w:t>
            </w:r>
          </w:p>
        </w:tc>
        <w:tc>
          <w:tcPr>
            <w:tcW w:w="7513"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21B9C040"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SALA DE TRIAGEM</w:t>
            </w:r>
          </w:p>
        </w:tc>
      </w:tr>
      <w:tr w:rsidR="00431648" w14:paraId="21B9C044"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noWrap/>
            <w:vAlign w:val="center"/>
          </w:tcPr>
          <w:p w14:paraId="21B9C042"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14</w:t>
            </w:r>
          </w:p>
        </w:tc>
        <w:tc>
          <w:tcPr>
            <w:tcW w:w="7513" w:type="dxa"/>
            <w:tcBorders>
              <w:top w:val="single" w:sz="4" w:space="0" w:color="auto"/>
              <w:left w:val="nil"/>
              <w:bottom w:val="single" w:sz="4" w:space="0" w:color="auto"/>
              <w:right w:val="single" w:sz="8" w:space="0" w:color="auto"/>
            </w:tcBorders>
            <w:vAlign w:val="center"/>
          </w:tcPr>
          <w:p w14:paraId="21B9C043"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 xml:space="preserve">SALA DE INALAÇÃO </w:t>
            </w:r>
          </w:p>
        </w:tc>
      </w:tr>
      <w:tr w:rsidR="00431648" w14:paraId="21B9C047"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shd w:val="clear" w:color="auto" w:fill="D9D9D9" w:themeFill="background1" w:themeFillShade="D9"/>
            <w:noWrap/>
            <w:vAlign w:val="center"/>
          </w:tcPr>
          <w:p w14:paraId="21B9C045"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15</w:t>
            </w:r>
          </w:p>
        </w:tc>
        <w:tc>
          <w:tcPr>
            <w:tcW w:w="7513"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21B9C046"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RECEPÇÃO</w:t>
            </w:r>
          </w:p>
        </w:tc>
      </w:tr>
      <w:tr w:rsidR="00431648" w14:paraId="21B9C04A"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noWrap/>
            <w:vAlign w:val="center"/>
          </w:tcPr>
          <w:p w14:paraId="21B9C048"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16</w:t>
            </w:r>
          </w:p>
        </w:tc>
        <w:tc>
          <w:tcPr>
            <w:tcW w:w="7513" w:type="dxa"/>
            <w:tcBorders>
              <w:top w:val="single" w:sz="4" w:space="0" w:color="auto"/>
              <w:left w:val="nil"/>
              <w:bottom w:val="single" w:sz="4" w:space="0" w:color="auto"/>
              <w:right w:val="single" w:sz="8" w:space="0" w:color="auto"/>
            </w:tcBorders>
            <w:vAlign w:val="center"/>
          </w:tcPr>
          <w:p w14:paraId="21B9C049"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FÁRMACIA</w:t>
            </w:r>
          </w:p>
        </w:tc>
      </w:tr>
      <w:tr w:rsidR="00431648" w14:paraId="21B9C04D"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shd w:val="clear" w:color="auto" w:fill="D9D9D9" w:themeFill="background1" w:themeFillShade="D9"/>
            <w:noWrap/>
            <w:vAlign w:val="center"/>
          </w:tcPr>
          <w:p w14:paraId="21B9C04B"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17</w:t>
            </w:r>
          </w:p>
        </w:tc>
        <w:tc>
          <w:tcPr>
            <w:tcW w:w="7513"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21B9C04C"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AUDITÓRIO</w:t>
            </w:r>
          </w:p>
        </w:tc>
      </w:tr>
      <w:tr w:rsidR="00431648" w14:paraId="21B9C050"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noWrap/>
            <w:vAlign w:val="center"/>
          </w:tcPr>
          <w:p w14:paraId="21B9C04E"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18</w:t>
            </w:r>
          </w:p>
        </w:tc>
        <w:tc>
          <w:tcPr>
            <w:tcW w:w="7513" w:type="dxa"/>
            <w:tcBorders>
              <w:top w:val="single" w:sz="4" w:space="0" w:color="auto"/>
              <w:left w:val="nil"/>
              <w:bottom w:val="single" w:sz="4" w:space="0" w:color="auto"/>
              <w:right w:val="single" w:sz="8" w:space="0" w:color="auto"/>
            </w:tcBorders>
            <w:vAlign w:val="center"/>
          </w:tcPr>
          <w:p w14:paraId="21B9C04F"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SALA DE PROCEDIMENTO</w:t>
            </w:r>
          </w:p>
        </w:tc>
      </w:tr>
      <w:tr w:rsidR="00431648" w14:paraId="21B9C053"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shd w:val="clear" w:color="auto" w:fill="D9D9D9" w:themeFill="background1" w:themeFillShade="D9"/>
            <w:noWrap/>
            <w:vAlign w:val="center"/>
          </w:tcPr>
          <w:p w14:paraId="21B9C051"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19</w:t>
            </w:r>
          </w:p>
        </w:tc>
        <w:tc>
          <w:tcPr>
            <w:tcW w:w="7513"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21B9C052"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SALA DE MEDICAÇÃO</w:t>
            </w:r>
          </w:p>
        </w:tc>
      </w:tr>
      <w:tr w:rsidR="00431648" w14:paraId="21B9C056"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noWrap/>
            <w:vAlign w:val="center"/>
          </w:tcPr>
          <w:p w14:paraId="21B9C054"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20</w:t>
            </w:r>
          </w:p>
        </w:tc>
        <w:tc>
          <w:tcPr>
            <w:tcW w:w="7513" w:type="dxa"/>
            <w:tcBorders>
              <w:top w:val="single" w:sz="4" w:space="0" w:color="auto"/>
              <w:left w:val="nil"/>
              <w:bottom w:val="single" w:sz="4" w:space="0" w:color="auto"/>
              <w:right w:val="single" w:sz="8" w:space="0" w:color="auto"/>
            </w:tcBorders>
            <w:vAlign w:val="center"/>
          </w:tcPr>
          <w:p w14:paraId="21B9C055"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SALA DE VACINA</w:t>
            </w:r>
          </w:p>
        </w:tc>
      </w:tr>
      <w:tr w:rsidR="00431648" w14:paraId="21B9C059" w14:textId="77777777">
        <w:trPr>
          <w:trHeight w:val="300"/>
          <w:jc w:val="center"/>
        </w:trPr>
        <w:tc>
          <w:tcPr>
            <w:tcW w:w="1266" w:type="dxa"/>
            <w:tcBorders>
              <w:top w:val="single" w:sz="4" w:space="0" w:color="auto"/>
              <w:left w:val="single" w:sz="8" w:space="0" w:color="auto"/>
              <w:bottom w:val="single" w:sz="4" w:space="0" w:color="auto"/>
              <w:right w:val="single" w:sz="8" w:space="0" w:color="auto"/>
            </w:tcBorders>
            <w:shd w:val="clear" w:color="auto" w:fill="D9D9D9" w:themeFill="background1" w:themeFillShade="D9"/>
            <w:noWrap/>
            <w:vAlign w:val="center"/>
          </w:tcPr>
          <w:p w14:paraId="21B9C057" w14:textId="77777777" w:rsidR="00431648" w:rsidRDefault="00000000">
            <w:pPr>
              <w:widowControl/>
              <w:suppressAutoHyphens w:val="0"/>
              <w:jc w:val="center"/>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21</w:t>
            </w:r>
          </w:p>
        </w:tc>
        <w:tc>
          <w:tcPr>
            <w:tcW w:w="7513"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21B9C058" w14:textId="77777777" w:rsidR="00431648" w:rsidRDefault="00000000">
            <w:pPr>
              <w:widowControl/>
              <w:suppressAutoHyphens w:val="0"/>
              <w:rPr>
                <w:rFonts w:ascii="Times New Roman" w:eastAsia="Times New Roman" w:hAnsi="Times New Roman" w:cs="Times New Roman"/>
                <w:color w:val="000000"/>
                <w:sz w:val="18"/>
                <w:szCs w:val="18"/>
                <w:lang w:eastAsia="pt-BR"/>
              </w:rPr>
            </w:pPr>
            <w:r>
              <w:rPr>
                <w:rFonts w:ascii="Times New Roman" w:eastAsia="Times New Roman" w:hAnsi="Times New Roman" w:cs="Times New Roman"/>
                <w:color w:val="000000"/>
                <w:sz w:val="18"/>
                <w:szCs w:val="18"/>
                <w:lang w:eastAsia="pt-BR"/>
              </w:rPr>
              <w:t>SALA DE ADMINISTRAÇÃO</w:t>
            </w:r>
          </w:p>
        </w:tc>
      </w:tr>
    </w:tbl>
    <w:p w14:paraId="21B9C05A" w14:textId="77777777" w:rsidR="00431648"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5C" w14:textId="77777777">
        <w:trPr>
          <w:trHeight w:val="367"/>
        </w:trPr>
        <w:tc>
          <w:tcPr>
            <w:tcW w:w="10366" w:type="dxa"/>
            <w:shd w:val="clear" w:color="auto" w:fill="D0CECE" w:themeFill="background2" w:themeFillShade="E6"/>
            <w:vAlign w:val="center"/>
          </w:tcPr>
          <w:p w14:paraId="21B9C05B" w14:textId="77777777" w:rsidR="00431648" w:rsidRDefault="00000000">
            <w:pPr>
              <w:pStyle w:val="Ttulo"/>
              <w:spacing w:line="360" w:lineRule="auto"/>
              <w:jc w:val="both"/>
              <w:rPr>
                <w:rFonts w:ascii="Times New Roman" w:hAnsi="Times New Roman" w:cs="Times New Roman"/>
              </w:rPr>
            </w:pPr>
            <w:bookmarkStart w:id="6" w:name="_Toc194397102"/>
            <w:r>
              <w:rPr>
                <w:rFonts w:ascii="Times New Roman" w:hAnsi="Times New Roman" w:cs="Times New Roman"/>
              </w:rPr>
              <w:t>6. LEVANTAMENTO DE MERCADO E JUSTIFICATIVA DA ESCOLHA DO TIPO DE SOLUÇÃO A CONTRATAR (art. 18º, §1º, INCISO “V”)</w:t>
            </w:r>
            <w:bookmarkEnd w:id="6"/>
          </w:p>
        </w:tc>
      </w:tr>
    </w:tbl>
    <w:p w14:paraId="21B9C05D" w14:textId="77777777" w:rsidR="00431648" w:rsidRDefault="00431648">
      <w:pPr>
        <w:pStyle w:val="SemEspaamento"/>
        <w:spacing w:line="360" w:lineRule="auto"/>
        <w:jc w:val="both"/>
        <w:rPr>
          <w:rFonts w:ascii="Times New Roman" w:hAnsi="Times New Roman" w:cs="Times New Roman"/>
          <w:lang w:val="pt-BR"/>
        </w:rPr>
      </w:pPr>
    </w:p>
    <w:p w14:paraId="21B9C05E"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levantamento de mercado, que consiste na análise das alternativas possíveis, e justificativa técnica e econômica da escolha do tipo de solução a contratar; (inciso V do § 1° do art. 18 da Lei 14.133/21 e Seção VI do Decreto Municipal 11.685/2023).</w:t>
      </w:r>
    </w:p>
    <w:p w14:paraId="21B9C05F" w14:textId="77777777" w:rsidR="00431648" w:rsidRDefault="00431648">
      <w:pPr>
        <w:pStyle w:val="SemEspaamento"/>
        <w:spacing w:line="360" w:lineRule="auto"/>
        <w:jc w:val="both"/>
        <w:rPr>
          <w:rFonts w:ascii="Times New Roman" w:hAnsi="Times New Roman" w:cs="Times New Roman"/>
          <w:lang w:val="pt-BR"/>
        </w:rPr>
      </w:pPr>
    </w:p>
    <w:p w14:paraId="21B9C060"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lang w:val="pt-BR"/>
        </w:rPr>
        <w:tab/>
      </w:r>
      <w:r>
        <w:rPr>
          <w:rFonts w:ascii="Times New Roman" w:hAnsi="Times New Roman" w:cs="Times New Roman"/>
        </w:rPr>
        <w:t xml:space="preserve">Considerando o objetivo da presente contratação, que é a construção de um ESF com padrão técnico adequado às normativas de saúde pública, acessibilidade e segurança, foi realizado um levantamento pautado na </w:t>
      </w:r>
      <w:r>
        <w:rPr>
          <w:rFonts w:ascii="Times New Roman" w:hAnsi="Times New Roman" w:cs="Times New Roman"/>
          <w:b/>
          <w:bCs/>
        </w:rPr>
        <w:t>necessidade real da população por melhorias na rede de saúde especializada</w:t>
      </w:r>
      <w:r>
        <w:rPr>
          <w:rFonts w:ascii="Times New Roman" w:hAnsi="Times New Roman" w:cs="Times New Roman"/>
        </w:rPr>
        <w:t xml:space="preserve"> em zonas rurais no município de Rondonópolis – MT.</w:t>
      </w:r>
    </w:p>
    <w:p w14:paraId="21B9C061"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 xml:space="preserve">A escolha pela </w:t>
      </w:r>
      <w:r>
        <w:rPr>
          <w:rFonts w:ascii="Times New Roman" w:hAnsi="Times New Roman" w:cs="Times New Roman"/>
          <w:b/>
          <w:bCs/>
        </w:rPr>
        <w:t xml:space="preserve">construção </w:t>
      </w:r>
      <w:r>
        <w:rPr>
          <w:rFonts w:ascii="Times New Roman" w:hAnsi="Times New Roman" w:cs="Times New Roman"/>
        </w:rPr>
        <w:t>se mostra tecnicamente viável e alinhada às diretrizes do Ministério da Saúde e aos padrões de atendimento regional, oferecendo maior capacidade de resposta às necessidades da população.</w:t>
      </w:r>
    </w:p>
    <w:p w14:paraId="21B9C062"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ab/>
        <w:t>Levando-se em conta as características do objeto a ser contratado, apresenta-se como alternativas possíveis para o regime de execução:</w:t>
      </w:r>
    </w:p>
    <w:p w14:paraId="21B9C063" w14:textId="77777777" w:rsidR="00431648" w:rsidRDefault="00431648">
      <w:pPr>
        <w:pStyle w:val="SemEspaamento"/>
        <w:spacing w:line="360" w:lineRule="auto"/>
        <w:jc w:val="both"/>
        <w:rPr>
          <w:rFonts w:ascii="Times New Roman" w:hAnsi="Times New Roman" w:cs="Times New Roman"/>
          <w:lang w:val="pt-BR"/>
        </w:rPr>
      </w:pPr>
    </w:p>
    <w:p w14:paraId="21B9C064"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lastRenderedPageBreak/>
        <w:t xml:space="preserve">1) </w:t>
      </w:r>
      <w:r>
        <w:rPr>
          <w:rFonts w:ascii="Times New Roman" w:hAnsi="Times New Roman" w:cs="Times New Roman"/>
          <w:b/>
          <w:bCs/>
          <w:lang w:val="pt-BR"/>
        </w:rPr>
        <w:t>Empreitada por Preço Global</w:t>
      </w:r>
      <w:r>
        <w:rPr>
          <w:rFonts w:ascii="Times New Roman" w:hAnsi="Times New Roman" w:cs="Times New Roman"/>
          <w:lang w:val="pt-BR"/>
        </w:rPr>
        <w:t xml:space="preserve"> (</w:t>
      </w:r>
      <w:r>
        <w:rPr>
          <w:rFonts w:ascii="Times New Roman" w:hAnsi="Times New Roman" w:cs="Times New Roman"/>
        </w:rPr>
        <w:t xml:space="preserve">contratação da execução do serviço por preço certo e total, quando for possível definir previamente no projeto básico, com boa margem de precisão, as </w:t>
      </w:r>
      <w:r>
        <w:rPr>
          <w:rFonts w:ascii="Times New Roman" w:hAnsi="Times New Roman" w:cs="Times New Roman"/>
          <w:lang w:val="pt-BR"/>
        </w:rPr>
        <w:t>quantidades dos serviços a serem posteriormente executados na fase contratual);</w:t>
      </w:r>
    </w:p>
    <w:p w14:paraId="21B9C065" w14:textId="77777777" w:rsidR="00431648" w:rsidRDefault="00431648">
      <w:pPr>
        <w:pStyle w:val="SemEspaamento"/>
        <w:spacing w:line="360" w:lineRule="auto"/>
        <w:jc w:val="both"/>
        <w:rPr>
          <w:rFonts w:ascii="Times New Roman" w:hAnsi="Times New Roman" w:cs="Times New Roman"/>
          <w:lang w:val="pt-BR"/>
        </w:rPr>
      </w:pPr>
    </w:p>
    <w:p w14:paraId="21B9C066"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2) </w:t>
      </w:r>
      <w:r>
        <w:rPr>
          <w:rFonts w:ascii="Times New Roman" w:hAnsi="Times New Roman" w:cs="Times New Roman"/>
          <w:b/>
          <w:bCs/>
          <w:lang w:val="pt-BR"/>
        </w:rPr>
        <w:t>Empreitada por Preço Unitário</w:t>
      </w:r>
      <w:r>
        <w:rPr>
          <w:rFonts w:ascii="Times New Roman" w:hAnsi="Times New Roman" w:cs="Times New Roman"/>
          <w:lang w:val="pt-BR"/>
        </w:rPr>
        <w:t xml:space="preserve"> (</w:t>
      </w:r>
      <w:r>
        <w:rPr>
          <w:rFonts w:ascii="Times New Roman" w:hAnsi="Times New Roman" w:cs="Times New Roman"/>
        </w:rPr>
        <w:t xml:space="preserve">contratação da execução do serviço por preço certo de unidades determinadas, nos casos em que os objetos, por sua natureza, possuam imprecisão </w:t>
      </w:r>
      <w:r>
        <w:rPr>
          <w:rFonts w:ascii="Times New Roman" w:hAnsi="Times New Roman" w:cs="Times New Roman"/>
          <w:lang w:val="pt-BR"/>
        </w:rPr>
        <w:t>inerente de quantitativos em seus itens orçamentários).</w:t>
      </w:r>
    </w:p>
    <w:p w14:paraId="21B9C067"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 xml:space="preserve">Nesse contexto, a solução a ser contratada é a execução da obra por empresa especializada, com base em projetos previamente definidos, em regime de </w:t>
      </w:r>
      <w:r>
        <w:rPr>
          <w:rFonts w:ascii="Times New Roman" w:hAnsi="Times New Roman" w:cs="Times New Roman"/>
          <w:b/>
          <w:bCs/>
          <w:lang w:val="pt-BR"/>
        </w:rPr>
        <w:t>empreitada por preço unitário</w:t>
      </w:r>
      <w:r>
        <w:rPr>
          <w:rFonts w:ascii="Times New Roman" w:hAnsi="Times New Roman" w:cs="Times New Roman"/>
          <w:lang w:val="pt-BR"/>
        </w:rPr>
        <w:t xml:space="preserve">, conforme o </w:t>
      </w:r>
      <w:r>
        <w:rPr>
          <w:rFonts w:ascii="Times New Roman" w:hAnsi="Times New Roman" w:cs="Times New Roman"/>
          <w:b/>
          <w:bCs/>
          <w:lang w:val="pt-BR"/>
        </w:rPr>
        <w:t>inciso XXVIII do art. 6º da Lei nº 14.133/2021</w:t>
      </w:r>
      <w:r>
        <w:rPr>
          <w:rFonts w:ascii="Times New Roman" w:hAnsi="Times New Roman" w:cs="Times New Roman"/>
          <w:lang w:val="pt-BR"/>
        </w:rPr>
        <w:t>. Essa alternativa garante maior controle sobre os custos e prazos, além de atender ao interesse público com economicidade, eficiência e segurança jurídica.</w:t>
      </w:r>
    </w:p>
    <w:p w14:paraId="21B9C068"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A modalidade da licitação será Concorrência, conforme disposto no art. 28, inciso II, da Lei nº 14.133, de 1º de abril de 2021, sendo indicada para a contratação de obras e serviços especiais de engenharia.</w:t>
      </w:r>
    </w:p>
    <w:p w14:paraId="21B9C069"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 xml:space="preserve">A adoção da Concorrência está fundamentada de forma clara e objetiva na legislação vigente, por se tratar de uma modalidade ampla, isonômica e compatível com contratações de maior vulto, permitindo a participação de qualquer interessado que atenda às exigências do edital, promovendo assim a seleção da proposta mais vantajosa para a Administração Pública, com observância dos princípios da legalidade, impessoalidade, moralidade, publicidade e eficiência. </w:t>
      </w:r>
    </w:p>
    <w:tbl>
      <w:tblPr>
        <w:tblStyle w:val="TabeladeGradeClara1"/>
        <w:tblW w:w="10366" w:type="dxa"/>
        <w:tblLayout w:type="fixed"/>
        <w:tblLook w:val="04A0" w:firstRow="1" w:lastRow="0" w:firstColumn="1" w:lastColumn="0" w:noHBand="0" w:noVBand="1"/>
      </w:tblPr>
      <w:tblGrid>
        <w:gridCol w:w="10366"/>
      </w:tblGrid>
      <w:tr w:rsidR="00431648" w14:paraId="21B9C06B" w14:textId="77777777">
        <w:trPr>
          <w:trHeight w:val="367"/>
        </w:trPr>
        <w:tc>
          <w:tcPr>
            <w:tcW w:w="10366" w:type="dxa"/>
            <w:shd w:val="clear" w:color="auto" w:fill="D0CECE" w:themeFill="background2" w:themeFillShade="E6"/>
            <w:vAlign w:val="center"/>
          </w:tcPr>
          <w:p w14:paraId="21B9C06A" w14:textId="77777777" w:rsidR="00431648" w:rsidRDefault="00000000">
            <w:pPr>
              <w:pStyle w:val="Ttulo"/>
              <w:spacing w:line="360" w:lineRule="auto"/>
              <w:jc w:val="both"/>
              <w:rPr>
                <w:rFonts w:ascii="Times New Roman" w:hAnsi="Times New Roman" w:cs="Times New Roman"/>
              </w:rPr>
            </w:pPr>
            <w:bookmarkStart w:id="7" w:name="_Toc194397103"/>
            <w:r>
              <w:rPr>
                <w:rFonts w:ascii="Times New Roman" w:hAnsi="Times New Roman" w:cs="Times New Roman"/>
              </w:rPr>
              <w:t>7. ESTIMATIVA DO VALOR DA CONTRATAÇÃO (art. 18º, §1º, INCISO “VI”)</w:t>
            </w:r>
            <w:bookmarkEnd w:id="7"/>
          </w:p>
        </w:tc>
      </w:tr>
    </w:tbl>
    <w:p w14:paraId="21B9C06C" w14:textId="77777777" w:rsidR="00431648" w:rsidRDefault="00431648">
      <w:pPr>
        <w:pStyle w:val="SemEspaamento"/>
        <w:spacing w:line="360" w:lineRule="auto"/>
        <w:jc w:val="both"/>
        <w:rPr>
          <w:rFonts w:ascii="Times New Roman" w:hAnsi="Times New Roman" w:cs="Times New Roman"/>
          <w:lang w:val="pt-BR"/>
        </w:rPr>
      </w:pPr>
    </w:p>
    <w:p w14:paraId="21B9C06D"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do art. 18 da Lei 14.133/21 e Seção VI do Decreto Municipal 11.685/2023).</w:t>
      </w:r>
    </w:p>
    <w:p w14:paraId="408AB37D" w14:textId="77777777" w:rsidR="00342D78" w:rsidRDefault="00342D78">
      <w:pPr>
        <w:spacing w:line="360" w:lineRule="auto"/>
        <w:ind w:left="2835" w:right="-1"/>
        <w:jc w:val="both"/>
        <w:rPr>
          <w:rFonts w:ascii="Times New Roman" w:hAnsi="Times New Roman" w:cs="Times New Roman"/>
          <w:sz w:val="18"/>
          <w:szCs w:val="14"/>
        </w:rPr>
      </w:pPr>
    </w:p>
    <w:p w14:paraId="2ED82E4B" w14:textId="0474F5F6" w:rsidR="00940C2E" w:rsidRPr="00940C2E" w:rsidRDefault="00940C2E" w:rsidP="00940C2E">
      <w:pPr>
        <w:pStyle w:val="SemEspaamento"/>
        <w:spacing w:line="360" w:lineRule="auto"/>
        <w:ind w:firstLine="720"/>
        <w:jc w:val="both"/>
        <w:rPr>
          <w:rFonts w:ascii="Times New Roman" w:hAnsi="Times New Roman" w:cs="Times New Roman"/>
          <w:lang w:val="pt-BR"/>
        </w:rPr>
      </w:pPr>
      <w:r w:rsidRPr="00940C2E">
        <w:rPr>
          <w:rFonts w:ascii="Times New Roman" w:hAnsi="Times New Roman" w:cs="Times New Roman"/>
          <w:lang w:val="pt-BR"/>
        </w:rPr>
        <w:t xml:space="preserve">O valor estimado da contratação é de </w:t>
      </w:r>
      <w:r w:rsidRPr="00940C2E">
        <w:rPr>
          <w:rFonts w:ascii="Times New Roman" w:hAnsi="Times New Roman" w:cs="Times New Roman"/>
          <w:b/>
          <w:bCs/>
          <w:lang w:val="pt-BR"/>
        </w:rPr>
        <w:t>R$ 3.138.589,91</w:t>
      </w:r>
      <w:r w:rsidRPr="00940C2E">
        <w:rPr>
          <w:rFonts w:ascii="Times New Roman" w:hAnsi="Times New Roman" w:cs="Times New Roman"/>
          <w:lang w:val="pt-BR"/>
        </w:rPr>
        <w:t>, contemplando todos os insumos, serviços e encargos necessários à execução integral da obra do ESF Sagrada Família, incluindo encargos sociais, aquisição de equipamentos, fornecimento de materiais, mão de obra, despesas indiretas e tributos.</w:t>
      </w:r>
    </w:p>
    <w:p w14:paraId="3674C5AB" w14:textId="77777777" w:rsidR="00940C2E" w:rsidRPr="00940C2E" w:rsidRDefault="00940C2E" w:rsidP="00940C2E">
      <w:pPr>
        <w:pStyle w:val="SemEspaamento"/>
        <w:spacing w:line="360" w:lineRule="auto"/>
        <w:ind w:firstLine="720"/>
        <w:jc w:val="both"/>
        <w:rPr>
          <w:rFonts w:ascii="Times New Roman" w:hAnsi="Times New Roman" w:cs="Times New Roman"/>
          <w:lang w:val="pt-BR"/>
        </w:rPr>
      </w:pPr>
      <w:r w:rsidRPr="00940C2E">
        <w:rPr>
          <w:rFonts w:ascii="Times New Roman" w:hAnsi="Times New Roman" w:cs="Times New Roman"/>
          <w:lang w:val="pt-BR"/>
        </w:rPr>
        <w:t>Para a composição orçamentária, foram utilizadas referências oficiais como SINAPI, ORSE e SICRO e valores de mercado devidamente justificados, conforme preceitua a legislação vigente e os princípios da economicidade e eficiência.</w:t>
      </w:r>
    </w:p>
    <w:p w14:paraId="38D00378" w14:textId="160C8781" w:rsidR="00940C2E" w:rsidRPr="00940C2E" w:rsidRDefault="00940C2E" w:rsidP="00940C2E">
      <w:pPr>
        <w:pStyle w:val="SemEspaamento"/>
        <w:spacing w:line="360" w:lineRule="auto"/>
        <w:ind w:firstLine="720"/>
        <w:jc w:val="both"/>
        <w:rPr>
          <w:rFonts w:ascii="Times New Roman" w:hAnsi="Times New Roman" w:cs="Times New Roman"/>
          <w:lang w:val="pt-BR"/>
        </w:rPr>
      </w:pPr>
      <w:r w:rsidRPr="00940C2E">
        <w:rPr>
          <w:rFonts w:ascii="Times New Roman" w:hAnsi="Times New Roman" w:cs="Times New Roman"/>
          <w:lang w:val="pt-BR"/>
        </w:rPr>
        <w:t>A planilha orçamentária, contendo a estimativa de custos detalhada, será parte integrante do processo licitatório e publicada oportunamente, garantindo a devida transparência do certame, conforme determina a Lei nº 14.133/2021.</w:t>
      </w:r>
    </w:p>
    <w:p w14:paraId="21B9C06E" w14:textId="77777777" w:rsidR="00431648" w:rsidRPr="00940C2E" w:rsidRDefault="00431648">
      <w:pPr>
        <w:pStyle w:val="SemEspaamento"/>
        <w:spacing w:line="360" w:lineRule="auto"/>
        <w:jc w:val="both"/>
        <w:rPr>
          <w:rFonts w:ascii="Times New Roman" w:hAnsi="Times New Roman" w:cs="Times New Roman"/>
          <w:lang w:val="pt-BR"/>
        </w:rPr>
      </w:pPr>
    </w:p>
    <w:p w14:paraId="21B9C072" w14:textId="77777777" w:rsidR="00431648" w:rsidRPr="00940C2E"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74" w14:textId="77777777">
        <w:trPr>
          <w:trHeight w:val="367"/>
        </w:trPr>
        <w:tc>
          <w:tcPr>
            <w:tcW w:w="10366" w:type="dxa"/>
            <w:shd w:val="clear" w:color="auto" w:fill="D0CECE" w:themeFill="background2" w:themeFillShade="E6"/>
            <w:vAlign w:val="center"/>
          </w:tcPr>
          <w:p w14:paraId="21B9C073" w14:textId="77777777" w:rsidR="00431648" w:rsidRDefault="00000000">
            <w:pPr>
              <w:pStyle w:val="Ttulo"/>
              <w:spacing w:line="360" w:lineRule="auto"/>
              <w:jc w:val="both"/>
              <w:rPr>
                <w:rFonts w:ascii="Times New Roman" w:hAnsi="Times New Roman" w:cs="Times New Roman"/>
              </w:rPr>
            </w:pPr>
            <w:bookmarkStart w:id="8" w:name="_Toc194397104"/>
            <w:r>
              <w:rPr>
                <w:rFonts w:ascii="Times New Roman" w:hAnsi="Times New Roman" w:cs="Times New Roman"/>
              </w:rPr>
              <w:t>8. DESCRIÇÃO DA SOLUÇÃO COMO UM TODO (art. 18º, §1º, INCISO “VII”)</w:t>
            </w:r>
            <w:bookmarkEnd w:id="8"/>
          </w:p>
        </w:tc>
      </w:tr>
    </w:tbl>
    <w:p w14:paraId="21B9C075" w14:textId="77777777" w:rsidR="00431648" w:rsidRDefault="00431648">
      <w:pPr>
        <w:pStyle w:val="SemEspaamento"/>
        <w:spacing w:line="360" w:lineRule="auto"/>
        <w:jc w:val="both"/>
        <w:rPr>
          <w:rFonts w:ascii="Times New Roman" w:hAnsi="Times New Roman" w:cs="Times New Roman"/>
          <w:lang w:val="pt-BR"/>
        </w:rPr>
      </w:pPr>
    </w:p>
    <w:p w14:paraId="21B9C076"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da solução como um todo, inclusive das exigências relacionadas à manutenção e à assistência técnica, quando for o caso; (inciso VII do § 1° do art. 18 da Lei 14.133/21 e Seção VI do Decreto Municipal 11.685/2023).</w:t>
      </w:r>
    </w:p>
    <w:p w14:paraId="21B9C077" w14:textId="77777777" w:rsidR="00431648" w:rsidRDefault="00431648">
      <w:pPr>
        <w:spacing w:line="360" w:lineRule="auto"/>
        <w:ind w:left="2835" w:right="-1"/>
        <w:jc w:val="both"/>
        <w:rPr>
          <w:rFonts w:ascii="Times New Roman" w:hAnsi="Times New Roman" w:cs="Times New Roman"/>
          <w:sz w:val="18"/>
          <w:szCs w:val="14"/>
        </w:rPr>
      </w:pPr>
    </w:p>
    <w:p w14:paraId="21B9C078"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lang w:val="pt-BR"/>
        </w:rPr>
        <w:tab/>
      </w:r>
      <w:r>
        <w:rPr>
          <w:rFonts w:ascii="Times New Roman" w:hAnsi="Times New Roman" w:cs="Times New Roman"/>
        </w:rPr>
        <w:t>A solução proposta contempla a construção de um ESF no Bairro Sagrada Família em Rondonópolis – MT, estrutura voltada à oferta de serviços de atendimentos  a saude  no bairro e áreas adjacentes. O projeto visa ampliar a capacidade de atendimento da rede pública de saúde, garantindo maior resolutividade e desafogando unidades de pronto atendimento.</w:t>
      </w:r>
    </w:p>
    <w:p w14:paraId="21B9C079"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A edificação será implantada com base nos projetos arquitetônico e complementares, obedecendo aos parâmetros técnicos de acessibilidade, vigilância sanitária e eficiência operacional. Serão considerados ambientes assistenciais e de apoio, projetados para garantir funcionalidade e conforto aos usuários e profissionais de saúde.</w:t>
      </w:r>
    </w:p>
    <w:p w14:paraId="21B9C07A"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A execução será contratada sob o regime de empreitada</w:t>
      </w:r>
      <w:r>
        <w:rPr>
          <w:rFonts w:ascii="Times New Roman" w:hAnsi="Times New Roman" w:cs="Times New Roman"/>
          <w:b/>
          <w:bCs/>
        </w:rPr>
        <w:t xml:space="preserve"> </w:t>
      </w:r>
      <w:r>
        <w:rPr>
          <w:rFonts w:ascii="Times New Roman" w:hAnsi="Times New Roman" w:cs="Times New Roman"/>
        </w:rPr>
        <w:t>por preço unitário possibilitada pela definição precisa dos quantitativos e escopo. A fiscalização ficará a cargo da Secretaria Municipal de Saúde.</w:t>
      </w:r>
    </w:p>
    <w:p w14:paraId="21B9C07B"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rPr>
        <w:t>A entrega da obra atenderá a uma demanda concreta da população por serviços especializados de saúde, consolidando-se como uma solução efetiva para os desafios atuais do município.</w:t>
      </w:r>
    </w:p>
    <w:p w14:paraId="21B9C07C" w14:textId="77777777" w:rsidR="00431648" w:rsidRDefault="00431648">
      <w:pPr>
        <w:pStyle w:val="SemEspaamento"/>
        <w:spacing w:line="360" w:lineRule="auto"/>
        <w:jc w:val="both"/>
        <w:rPr>
          <w:rFonts w:ascii="Times New Roman" w:hAnsi="Times New Roman" w:cs="Times New Roman"/>
          <w:lang w:val="pt-BR"/>
        </w:rPr>
      </w:pPr>
    </w:p>
    <w:p w14:paraId="21B9C07D" w14:textId="77777777" w:rsidR="00431648"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7F" w14:textId="77777777">
        <w:trPr>
          <w:trHeight w:val="367"/>
        </w:trPr>
        <w:tc>
          <w:tcPr>
            <w:tcW w:w="10366" w:type="dxa"/>
            <w:shd w:val="clear" w:color="auto" w:fill="D0CECE" w:themeFill="background2" w:themeFillShade="E6"/>
            <w:vAlign w:val="center"/>
          </w:tcPr>
          <w:p w14:paraId="21B9C07E" w14:textId="77777777" w:rsidR="00431648" w:rsidRDefault="00000000">
            <w:pPr>
              <w:pStyle w:val="Ttulo"/>
              <w:spacing w:line="360" w:lineRule="auto"/>
              <w:jc w:val="both"/>
              <w:rPr>
                <w:rFonts w:ascii="Times New Roman" w:hAnsi="Times New Roman" w:cs="Times New Roman"/>
              </w:rPr>
            </w:pPr>
            <w:bookmarkStart w:id="9" w:name="_Toc194397105"/>
            <w:r>
              <w:rPr>
                <w:rFonts w:ascii="Times New Roman" w:hAnsi="Times New Roman" w:cs="Times New Roman"/>
              </w:rPr>
              <w:t>9. JUSTIFICATIVA PARA O PARCELAMENTO OU NÃO DA SOLUÇÃO (art. 18º, §1º, INCISO “VIII”)</w:t>
            </w:r>
            <w:bookmarkEnd w:id="9"/>
          </w:p>
        </w:tc>
      </w:tr>
    </w:tbl>
    <w:p w14:paraId="21B9C080" w14:textId="77777777" w:rsidR="00431648" w:rsidRDefault="00431648">
      <w:pPr>
        <w:pStyle w:val="SemEspaamento"/>
        <w:spacing w:line="360" w:lineRule="auto"/>
        <w:jc w:val="both"/>
        <w:rPr>
          <w:rFonts w:ascii="Times New Roman" w:hAnsi="Times New Roman" w:cs="Times New Roman"/>
          <w:lang w:val="pt-BR"/>
        </w:rPr>
      </w:pPr>
    </w:p>
    <w:p w14:paraId="21B9C081"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justificativas para o parcelamento ou não da contratação; (inciso VIII do § 1° do art. 18 da Lei 14.133/21 e Seção VI do Decreto Municipal 11.685/2023).</w:t>
      </w:r>
    </w:p>
    <w:p w14:paraId="21B9C082"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lang w:val="pt-BR"/>
        </w:rPr>
        <w:tab/>
      </w:r>
    </w:p>
    <w:p w14:paraId="21B9C083"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rPr>
        <w:tab/>
      </w:r>
      <w:r>
        <w:rPr>
          <w:rFonts w:ascii="Times New Roman" w:hAnsi="Times New Roman" w:cs="Times New Roman"/>
          <w:lang w:val="pt-BR"/>
        </w:rPr>
        <w:t xml:space="preserve">Considerando a natureza da contratação — construção de uma edificação pública de saúde com múltiplos ambientes e sistemas interdependentes — </w:t>
      </w:r>
      <w:r>
        <w:rPr>
          <w:rFonts w:ascii="Times New Roman" w:hAnsi="Times New Roman" w:cs="Times New Roman"/>
          <w:b/>
          <w:bCs/>
          <w:lang w:val="pt-BR"/>
        </w:rPr>
        <w:t>não se recomenda o parcelamento da solução</w:t>
      </w:r>
      <w:r>
        <w:rPr>
          <w:rFonts w:ascii="Times New Roman" w:hAnsi="Times New Roman" w:cs="Times New Roman"/>
          <w:lang w:val="pt-BR"/>
        </w:rPr>
        <w:t>. Trata-se de um empreendimento único, cujos serviços estão integrados física e funcionalmente, exigindo gestão unificada e execução coordenada para garantir o cumprimento dos prazos, qualidade técnica e otimização dos recursos públicos.</w:t>
      </w:r>
    </w:p>
    <w:p w14:paraId="21B9C084"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A fragmentação contratual comprometeria o desempenho global da obra, podendo ocasionar incompatibilidades técnicas entre os diferentes executores, além de dificultar o controle, a fiscalização e a responsabilização contratual.</w:t>
      </w:r>
    </w:p>
    <w:p w14:paraId="21B9C085"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lastRenderedPageBreak/>
        <w:t xml:space="preserve">Dessa forma, a execução integral da obra por um único contratado, sob o regime de </w:t>
      </w:r>
      <w:r>
        <w:rPr>
          <w:rFonts w:ascii="Times New Roman" w:hAnsi="Times New Roman" w:cs="Times New Roman"/>
          <w:b/>
          <w:bCs/>
          <w:lang w:val="pt-BR"/>
        </w:rPr>
        <w:t>empreitada por preço unitário</w:t>
      </w:r>
      <w:r>
        <w:rPr>
          <w:rFonts w:ascii="Times New Roman" w:hAnsi="Times New Roman" w:cs="Times New Roman"/>
          <w:lang w:val="pt-BR"/>
        </w:rPr>
        <w:t>, mostra-se a alternativa mais eficiente e vantajosa para a Administração Pública, atendendo ao interesse público e ao princípio da economicidade.</w:t>
      </w:r>
    </w:p>
    <w:p w14:paraId="21B9C086" w14:textId="77777777" w:rsidR="00431648" w:rsidRDefault="00431648">
      <w:pPr>
        <w:pStyle w:val="SemEspaamento"/>
        <w:spacing w:line="360" w:lineRule="auto"/>
        <w:jc w:val="both"/>
        <w:rPr>
          <w:rFonts w:ascii="Times New Roman" w:hAnsi="Times New Roman" w:cs="Times New Roman"/>
        </w:rPr>
      </w:pPr>
    </w:p>
    <w:tbl>
      <w:tblPr>
        <w:tblStyle w:val="TabeladeGradeClara1"/>
        <w:tblW w:w="10366" w:type="dxa"/>
        <w:tblLayout w:type="fixed"/>
        <w:tblLook w:val="04A0" w:firstRow="1" w:lastRow="0" w:firstColumn="1" w:lastColumn="0" w:noHBand="0" w:noVBand="1"/>
      </w:tblPr>
      <w:tblGrid>
        <w:gridCol w:w="10366"/>
      </w:tblGrid>
      <w:tr w:rsidR="00431648" w14:paraId="21B9C088" w14:textId="77777777">
        <w:trPr>
          <w:trHeight w:val="367"/>
        </w:trPr>
        <w:tc>
          <w:tcPr>
            <w:tcW w:w="10366" w:type="dxa"/>
            <w:shd w:val="clear" w:color="auto" w:fill="D0CECE" w:themeFill="background2" w:themeFillShade="E6"/>
            <w:vAlign w:val="center"/>
          </w:tcPr>
          <w:p w14:paraId="21B9C087" w14:textId="77777777" w:rsidR="00431648" w:rsidRDefault="00000000">
            <w:pPr>
              <w:pStyle w:val="Ttulo"/>
              <w:spacing w:line="360" w:lineRule="auto"/>
              <w:jc w:val="both"/>
              <w:rPr>
                <w:rFonts w:ascii="Times New Roman" w:hAnsi="Times New Roman" w:cs="Times New Roman"/>
              </w:rPr>
            </w:pPr>
            <w:bookmarkStart w:id="10" w:name="_Toc194397106"/>
            <w:r>
              <w:rPr>
                <w:rFonts w:ascii="Times New Roman" w:hAnsi="Times New Roman" w:cs="Times New Roman"/>
              </w:rPr>
              <w:t>10. DEMONSTRATIVO DOS RESULTADOS PRETENDIDOS (art. 18º, §1º, INCISO “IX”)</w:t>
            </w:r>
            <w:bookmarkEnd w:id="10"/>
          </w:p>
        </w:tc>
      </w:tr>
    </w:tbl>
    <w:p w14:paraId="21B9C089" w14:textId="77777777" w:rsidR="00431648" w:rsidRDefault="00431648">
      <w:pPr>
        <w:pStyle w:val="SemEspaamento"/>
        <w:spacing w:line="360" w:lineRule="auto"/>
        <w:jc w:val="both"/>
        <w:rPr>
          <w:rFonts w:ascii="Times New Roman" w:hAnsi="Times New Roman" w:cs="Times New Roman"/>
          <w:lang w:val="pt-BR"/>
        </w:rPr>
      </w:pPr>
    </w:p>
    <w:p w14:paraId="21B9C08A"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demonstrativo dos resultados pretendidos em termos de economicidade e de melhor aproveitamento dos recursos humanos, materiais e financeiros disponíveis; (inciso IX do § 1° do art. 18 da Lei 14.133/21 e Seção VI do Decreto Municipal 11.685/2023).</w:t>
      </w:r>
    </w:p>
    <w:p w14:paraId="21B9C08B" w14:textId="77777777" w:rsidR="00431648" w:rsidRDefault="00431648">
      <w:pPr>
        <w:pStyle w:val="SemEspaamento"/>
        <w:spacing w:line="360" w:lineRule="auto"/>
        <w:jc w:val="both"/>
        <w:rPr>
          <w:rFonts w:ascii="Times New Roman" w:hAnsi="Times New Roman" w:cs="Times New Roman"/>
          <w:lang w:val="pt-BR"/>
        </w:rPr>
      </w:pPr>
    </w:p>
    <w:p w14:paraId="21B9C08C"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rPr>
        <w:tab/>
      </w:r>
      <w:r>
        <w:rPr>
          <w:rFonts w:ascii="Times New Roman" w:hAnsi="Times New Roman" w:cs="Times New Roman"/>
          <w:lang w:val="pt-BR"/>
        </w:rPr>
        <w:t>A execução da obra para implantação do ESF Sagrada Família, tem como principal resultado esperado o fortalecimento da rede municipal de saúde, por meio da ampliação da estrutura física e funcional. O empreendimento visa atender, de forma planejada e estruturada, uma demanda crescente da população por atendimentos básico de saúde, otimizando o uso dos serviços existentes e reduzindo gargalos nas unidades de pronto atendimento.</w:t>
      </w:r>
    </w:p>
    <w:p w14:paraId="21B9C08D" w14:textId="77777777" w:rsidR="00431648" w:rsidRDefault="00431648">
      <w:pPr>
        <w:pStyle w:val="SemEspaamento"/>
        <w:spacing w:line="360" w:lineRule="auto"/>
        <w:jc w:val="both"/>
        <w:rPr>
          <w:rFonts w:ascii="Times New Roman" w:hAnsi="Times New Roman" w:cs="Times New Roman"/>
          <w:lang w:val="pt-BR"/>
        </w:rPr>
      </w:pPr>
    </w:p>
    <w:p w14:paraId="21B9C08E" w14:textId="77777777" w:rsidR="00431648" w:rsidRDefault="00000000">
      <w:pPr>
        <w:pStyle w:val="SemEspaamento"/>
        <w:spacing w:line="360" w:lineRule="auto"/>
        <w:ind w:firstLine="360"/>
        <w:jc w:val="both"/>
        <w:rPr>
          <w:rFonts w:ascii="Times New Roman" w:hAnsi="Times New Roman" w:cs="Times New Roman"/>
          <w:lang w:val="pt-BR"/>
        </w:rPr>
      </w:pPr>
      <w:r>
        <w:rPr>
          <w:rFonts w:ascii="Times New Roman" w:hAnsi="Times New Roman" w:cs="Times New Roman"/>
          <w:lang w:val="pt-BR"/>
        </w:rPr>
        <w:t>Dentre os principais resultados a serem alcançados com a contratação, destacam-se:</w:t>
      </w:r>
    </w:p>
    <w:p w14:paraId="21B9C08F" w14:textId="77777777" w:rsidR="00431648" w:rsidRDefault="00431648">
      <w:pPr>
        <w:pStyle w:val="SemEspaamento"/>
        <w:spacing w:line="360" w:lineRule="auto"/>
        <w:ind w:firstLine="360"/>
        <w:jc w:val="both"/>
        <w:rPr>
          <w:rFonts w:ascii="Times New Roman" w:hAnsi="Times New Roman" w:cs="Times New Roman"/>
          <w:lang w:val="pt-BR"/>
        </w:rPr>
      </w:pPr>
    </w:p>
    <w:p w14:paraId="21B9C090" w14:textId="77777777" w:rsidR="00431648" w:rsidRDefault="00000000">
      <w:pPr>
        <w:pStyle w:val="SemEspaamento"/>
        <w:numPr>
          <w:ilvl w:val="0"/>
          <w:numId w:val="2"/>
        </w:numPr>
        <w:spacing w:line="360" w:lineRule="auto"/>
        <w:jc w:val="both"/>
        <w:rPr>
          <w:rFonts w:ascii="Times New Roman" w:hAnsi="Times New Roman" w:cs="Times New Roman"/>
          <w:lang w:val="pt-BR"/>
        </w:rPr>
      </w:pPr>
      <w:r>
        <w:rPr>
          <w:rFonts w:ascii="Times New Roman" w:hAnsi="Times New Roman" w:cs="Times New Roman"/>
          <w:lang w:val="pt-BR"/>
        </w:rPr>
        <w:t xml:space="preserve">Disponibilização de </w:t>
      </w:r>
      <w:r>
        <w:rPr>
          <w:rFonts w:ascii="Times New Roman" w:hAnsi="Times New Roman" w:cs="Times New Roman"/>
          <w:b/>
          <w:bCs/>
          <w:lang w:val="pt-BR"/>
        </w:rPr>
        <w:t>infraestrutura moderna e tecnicamente adequada</w:t>
      </w:r>
      <w:r>
        <w:rPr>
          <w:rFonts w:ascii="Times New Roman" w:hAnsi="Times New Roman" w:cs="Times New Roman"/>
          <w:lang w:val="pt-BR"/>
        </w:rPr>
        <w:t xml:space="preserve"> para atendimentos;</w:t>
      </w:r>
    </w:p>
    <w:p w14:paraId="21B9C091" w14:textId="77777777" w:rsidR="00431648" w:rsidRDefault="00000000">
      <w:pPr>
        <w:pStyle w:val="SemEspaamento"/>
        <w:numPr>
          <w:ilvl w:val="0"/>
          <w:numId w:val="2"/>
        </w:numPr>
        <w:spacing w:line="360" w:lineRule="auto"/>
        <w:jc w:val="both"/>
        <w:rPr>
          <w:rFonts w:ascii="Times New Roman" w:hAnsi="Times New Roman" w:cs="Times New Roman"/>
          <w:lang w:val="pt-BR"/>
        </w:rPr>
      </w:pPr>
      <w:r>
        <w:rPr>
          <w:rFonts w:ascii="Times New Roman" w:hAnsi="Times New Roman" w:cs="Times New Roman"/>
          <w:lang w:val="pt-BR"/>
        </w:rPr>
        <w:t xml:space="preserve">Melhoria da </w:t>
      </w:r>
      <w:r>
        <w:rPr>
          <w:rFonts w:ascii="Times New Roman" w:hAnsi="Times New Roman" w:cs="Times New Roman"/>
          <w:b/>
          <w:bCs/>
          <w:lang w:val="pt-BR"/>
        </w:rPr>
        <w:t>capacidade de resposta do município</w:t>
      </w:r>
      <w:r>
        <w:rPr>
          <w:rFonts w:ascii="Times New Roman" w:hAnsi="Times New Roman" w:cs="Times New Roman"/>
          <w:lang w:val="pt-BR"/>
        </w:rPr>
        <w:t xml:space="preserve"> frente à demanda de atendimento na região;</w:t>
      </w:r>
    </w:p>
    <w:p w14:paraId="21B9C092" w14:textId="77777777" w:rsidR="00431648" w:rsidRDefault="00000000">
      <w:pPr>
        <w:pStyle w:val="SemEspaamento"/>
        <w:numPr>
          <w:ilvl w:val="0"/>
          <w:numId w:val="2"/>
        </w:numPr>
        <w:spacing w:line="360" w:lineRule="auto"/>
        <w:jc w:val="both"/>
        <w:rPr>
          <w:rFonts w:ascii="Times New Roman" w:hAnsi="Times New Roman" w:cs="Times New Roman"/>
          <w:lang w:val="pt-BR"/>
        </w:rPr>
      </w:pPr>
      <w:r>
        <w:rPr>
          <w:rFonts w:ascii="Times New Roman" w:hAnsi="Times New Roman" w:cs="Times New Roman"/>
          <w:lang w:val="pt-BR"/>
        </w:rPr>
        <w:t xml:space="preserve">Contribuição direta para o </w:t>
      </w:r>
      <w:r>
        <w:rPr>
          <w:rFonts w:ascii="Times New Roman" w:hAnsi="Times New Roman" w:cs="Times New Roman"/>
          <w:b/>
          <w:bCs/>
          <w:lang w:val="pt-BR"/>
        </w:rPr>
        <w:t>descongestionamento da UPA</w:t>
      </w:r>
      <w:r>
        <w:rPr>
          <w:rFonts w:ascii="Times New Roman" w:hAnsi="Times New Roman" w:cs="Times New Roman"/>
          <w:lang w:val="pt-BR"/>
        </w:rPr>
        <w:t>, com atendimento direcionado a casos eletivos e de média complexidade;</w:t>
      </w:r>
    </w:p>
    <w:p w14:paraId="21B9C093" w14:textId="77777777" w:rsidR="00431648" w:rsidRDefault="00000000">
      <w:pPr>
        <w:pStyle w:val="SemEspaamento"/>
        <w:numPr>
          <w:ilvl w:val="0"/>
          <w:numId w:val="2"/>
        </w:numPr>
        <w:spacing w:line="360" w:lineRule="auto"/>
        <w:jc w:val="both"/>
        <w:rPr>
          <w:rFonts w:ascii="Times New Roman" w:hAnsi="Times New Roman" w:cs="Times New Roman"/>
          <w:lang w:val="pt-BR"/>
        </w:rPr>
      </w:pPr>
      <w:r>
        <w:rPr>
          <w:rFonts w:ascii="Times New Roman" w:hAnsi="Times New Roman" w:cs="Times New Roman"/>
          <w:lang w:val="pt-BR"/>
        </w:rPr>
        <w:t xml:space="preserve">Estruturação de um serviço com </w:t>
      </w:r>
      <w:r>
        <w:rPr>
          <w:rFonts w:ascii="Times New Roman" w:hAnsi="Times New Roman" w:cs="Times New Roman"/>
          <w:b/>
          <w:bCs/>
          <w:lang w:val="pt-BR"/>
        </w:rPr>
        <w:t>acessibilidade plena</w:t>
      </w:r>
      <w:r>
        <w:rPr>
          <w:rFonts w:ascii="Times New Roman" w:hAnsi="Times New Roman" w:cs="Times New Roman"/>
          <w:lang w:val="pt-BR"/>
        </w:rPr>
        <w:t>, observando normas técnicas e requisitos legais de segurança, salubridade e conforto;</w:t>
      </w:r>
    </w:p>
    <w:p w14:paraId="21B9C094" w14:textId="77777777" w:rsidR="00431648" w:rsidRDefault="00000000">
      <w:pPr>
        <w:pStyle w:val="SemEspaamento"/>
        <w:numPr>
          <w:ilvl w:val="0"/>
          <w:numId w:val="2"/>
        </w:numPr>
        <w:spacing w:line="360" w:lineRule="auto"/>
        <w:jc w:val="both"/>
        <w:rPr>
          <w:rFonts w:ascii="Times New Roman" w:hAnsi="Times New Roman" w:cs="Times New Roman"/>
          <w:lang w:val="pt-BR"/>
        </w:rPr>
      </w:pPr>
      <w:r>
        <w:rPr>
          <w:rFonts w:ascii="Times New Roman" w:hAnsi="Times New Roman" w:cs="Times New Roman"/>
          <w:lang w:val="pt-BR"/>
        </w:rPr>
        <w:t>Melhoria nos indicadores de saúde pública, com impacto positivo nas metas pactuadas junto ao Ministério da Saúde;</w:t>
      </w:r>
    </w:p>
    <w:p w14:paraId="21B9C095" w14:textId="77777777" w:rsidR="00431648" w:rsidRDefault="00000000">
      <w:pPr>
        <w:pStyle w:val="SemEspaamento"/>
        <w:numPr>
          <w:ilvl w:val="0"/>
          <w:numId w:val="2"/>
        </w:numPr>
        <w:spacing w:line="360" w:lineRule="auto"/>
        <w:jc w:val="both"/>
        <w:rPr>
          <w:rFonts w:ascii="Times New Roman" w:hAnsi="Times New Roman" w:cs="Times New Roman"/>
          <w:lang w:val="pt-BR"/>
        </w:rPr>
      </w:pPr>
      <w:r>
        <w:rPr>
          <w:rFonts w:ascii="Times New Roman" w:hAnsi="Times New Roman" w:cs="Times New Roman"/>
          <w:lang w:val="pt-BR"/>
        </w:rPr>
        <w:t>Estabelecimento de uma base física e operacional que possa ser expandida ou adaptada conforme as necessidades futuras do município.</w:t>
      </w:r>
    </w:p>
    <w:p w14:paraId="21B9C096" w14:textId="77777777" w:rsidR="00431648" w:rsidRDefault="00431648">
      <w:pPr>
        <w:pStyle w:val="SemEspaamento"/>
        <w:spacing w:line="360" w:lineRule="auto"/>
        <w:ind w:left="720"/>
        <w:jc w:val="both"/>
        <w:rPr>
          <w:rFonts w:ascii="Times New Roman" w:hAnsi="Times New Roman" w:cs="Times New Roman"/>
          <w:lang w:val="pt-BR"/>
        </w:rPr>
      </w:pPr>
    </w:p>
    <w:p w14:paraId="21B9C097"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A obra em questão está orientada para gerar um ganho real de eficiência no sistema local de saúde, com foco na resolutividade, no atendimento humanizado e na economicidade da gestão pública. Trata-se de um investimento estratégico, planejado com base em dados da realidade local e alinhado com as diretrizes do SUS.</w:t>
      </w:r>
    </w:p>
    <w:p w14:paraId="21B9C098" w14:textId="77777777" w:rsidR="00431648" w:rsidRDefault="00431648">
      <w:pPr>
        <w:pStyle w:val="SemEspaamento"/>
        <w:spacing w:line="360" w:lineRule="auto"/>
        <w:ind w:firstLine="720"/>
        <w:jc w:val="both"/>
        <w:rPr>
          <w:rFonts w:ascii="Times New Roman" w:hAnsi="Times New Roman" w:cs="Times New Roman"/>
          <w:lang w:val="pt-BR"/>
        </w:rPr>
      </w:pPr>
    </w:p>
    <w:p w14:paraId="21B9C099" w14:textId="77777777" w:rsidR="00431648" w:rsidRDefault="00431648">
      <w:pPr>
        <w:pStyle w:val="SemEspaamento"/>
        <w:spacing w:line="360" w:lineRule="auto"/>
        <w:ind w:firstLine="720"/>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9B" w14:textId="77777777">
        <w:trPr>
          <w:trHeight w:val="367"/>
        </w:trPr>
        <w:tc>
          <w:tcPr>
            <w:tcW w:w="10366" w:type="dxa"/>
            <w:shd w:val="clear" w:color="auto" w:fill="D0CECE" w:themeFill="background2" w:themeFillShade="E6"/>
            <w:vAlign w:val="center"/>
          </w:tcPr>
          <w:p w14:paraId="21B9C09A" w14:textId="77777777" w:rsidR="00431648" w:rsidRDefault="00000000">
            <w:pPr>
              <w:pStyle w:val="Ttulo"/>
              <w:spacing w:line="360" w:lineRule="auto"/>
              <w:jc w:val="both"/>
              <w:rPr>
                <w:rFonts w:ascii="Times New Roman" w:hAnsi="Times New Roman" w:cs="Times New Roman"/>
                <w:bCs/>
              </w:rPr>
            </w:pPr>
            <w:bookmarkStart w:id="11" w:name="_Toc194397107"/>
            <w:r>
              <w:rPr>
                <w:rFonts w:ascii="Times New Roman" w:hAnsi="Times New Roman" w:cs="Times New Roman"/>
              </w:rPr>
              <w:lastRenderedPageBreak/>
              <w:t xml:space="preserve">11. </w:t>
            </w:r>
            <w:r>
              <w:rPr>
                <w:rFonts w:ascii="Times New Roman" w:hAnsi="Times New Roman" w:cs="Times New Roman"/>
                <w:bCs/>
              </w:rPr>
              <w:t>PROVIDÊNCIAS A SEREM ADOTADAS PELA ADMINISTRAÇÃO PREVIAMENTE A CELEBRAÇÃO DO CONTRATO</w:t>
            </w:r>
            <w:r>
              <w:rPr>
                <w:rFonts w:ascii="Times New Roman" w:hAnsi="Times New Roman" w:cs="Times New Roman"/>
              </w:rPr>
              <w:t xml:space="preserve"> (art. 18º, §1º, INCISO “X”)</w:t>
            </w:r>
            <w:bookmarkEnd w:id="11"/>
          </w:p>
        </w:tc>
      </w:tr>
    </w:tbl>
    <w:p w14:paraId="21B9C09C" w14:textId="77777777" w:rsidR="00431648" w:rsidRDefault="00431648">
      <w:pPr>
        <w:pStyle w:val="SemEspaamento"/>
        <w:spacing w:line="360" w:lineRule="auto"/>
        <w:jc w:val="both"/>
        <w:rPr>
          <w:rFonts w:ascii="Times New Roman" w:hAnsi="Times New Roman" w:cs="Times New Roman"/>
          <w:lang w:val="pt-BR"/>
        </w:rPr>
      </w:pPr>
    </w:p>
    <w:p w14:paraId="21B9C09D"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providências a serem adotadas pela Administração previamente à celebração do contrato, inclusive quanto à capacitação de servidores ou de empregados para fiscalização e gestão contratual; (inciso X do § 1° do art. 18 da Lei 14.133/21 e Seção VI do Decreto Municipal 11.685/2023).</w:t>
      </w:r>
    </w:p>
    <w:p w14:paraId="21B9C09E" w14:textId="77777777" w:rsidR="00431648" w:rsidRDefault="00431648">
      <w:pPr>
        <w:pStyle w:val="SemEspaamento"/>
        <w:spacing w:line="360" w:lineRule="auto"/>
        <w:jc w:val="both"/>
        <w:rPr>
          <w:rFonts w:ascii="Times New Roman" w:hAnsi="Times New Roman" w:cs="Times New Roman"/>
          <w:lang w:val="pt-BR"/>
        </w:rPr>
      </w:pPr>
    </w:p>
    <w:p w14:paraId="21B9C09F"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b/>
          <w:bCs/>
          <w:lang w:val="pt-BR"/>
        </w:rPr>
        <w:tab/>
      </w:r>
      <w:r>
        <w:rPr>
          <w:rFonts w:ascii="Times New Roman" w:hAnsi="Times New Roman" w:cs="Times New Roman"/>
        </w:rPr>
        <w:t>Para assegurar a adequada formalização do contrato e o pleno atendimento ao interesse público, serão adotadas, previamente à celebração contratual, as seguintes providências por parte da Administração Pública Municipal:</w:t>
      </w:r>
    </w:p>
    <w:p w14:paraId="21B9C0A0" w14:textId="77777777" w:rsidR="00431648" w:rsidRDefault="00431648">
      <w:pPr>
        <w:pStyle w:val="SemEspaamento"/>
        <w:spacing w:line="360" w:lineRule="auto"/>
        <w:jc w:val="both"/>
        <w:rPr>
          <w:rFonts w:ascii="Times New Roman" w:hAnsi="Times New Roman" w:cs="Times New Roman"/>
        </w:rPr>
      </w:pPr>
    </w:p>
    <w:p w14:paraId="21B9C0A1" w14:textId="77777777" w:rsidR="00431648" w:rsidRDefault="00000000">
      <w:pPr>
        <w:pStyle w:val="SemEspaamento"/>
        <w:spacing w:line="360" w:lineRule="auto"/>
        <w:ind w:firstLine="360"/>
        <w:jc w:val="both"/>
        <w:rPr>
          <w:rFonts w:ascii="Times New Roman" w:hAnsi="Times New Roman" w:cs="Times New Roman"/>
        </w:rPr>
      </w:pPr>
      <w:r>
        <w:rPr>
          <w:rFonts w:ascii="Times New Roman" w:hAnsi="Times New Roman" w:cs="Times New Roman"/>
          <w:b/>
          <w:bCs/>
        </w:rPr>
        <w:t>Por parte do contratado:</w:t>
      </w:r>
    </w:p>
    <w:p w14:paraId="21B9C0A2" w14:textId="77777777" w:rsidR="00431648" w:rsidRDefault="00000000">
      <w:pPr>
        <w:pStyle w:val="SemEspaamento"/>
        <w:numPr>
          <w:ilvl w:val="0"/>
          <w:numId w:val="3"/>
        </w:numPr>
        <w:spacing w:line="360" w:lineRule="auto"/>
        <w:jc w:val="both"/>
        <w:rPr>
          <w:rFonts w:ascii="Times New Roman" w:hAnsi="Times New Roman" w:cs="Times New Roman"/>
        </w:rPr>
      </w:pPr>
      <w:r>
        <w:rPr>
          <w:rFonts w:ascii="Times New Roman" w:hAnsi="Times New Roman" w:cs="Times New Roman"/>
        </w:rPr>
        <w:t>Observar e cumprir as normas legais, técnicas e administrativas aplicáveis à execução de obras públicas;</w:t>
      </w:r>
    </w:p>
    <w:p w14:paraId="21B9C0A3" w14:textId="77777777" w:rsidR="00431648" w:rsidRDefault="00000000">
      <w:pPr>
        <w:pStyle w:val="SemEspaamento"/>
        <w:numPr>
          <w:ilvl w:val="0"/>
          <w:numId w:val="3"/>
        </w:numPr>
        <w:spacing w:line="360" w:lineRule="auto"/>
        <w:jc w:val="both"/>
        <w:rPr>
          <w:rFonts w:ascii="Times New Roman" w:hAnsi="Times New Roman" w:cs="Times New Roman"/>
        </w:rPr>
      </w:pPr>
      <w:r>
        <w:rPr>
          <w:rFonts w:ascii="Times New Roman" w:hAnsi="Times New Roman" w:cs="Times New Roman"/>
        </w:rPr>
        <w:t>Executar os serviços em conformidade com os projetos, especificações técnicas e condições estabelecidas no Projeto Básico e demais anexos contratuais;</w:t>
      </w:r>
    </w:p>
    <w:p w14:paraId="21B9C0A4" w14:textId="77777777" w:rsidR="00431648" w:rsidRDefault="00000000">
      <w:pPr>
        <w:pStyle w:val="SemEspaamento"/>
        <w:numPr>
          <w:ilvl w:val="0"/>
          <w:numId w:val="3"/>
        </w:numPr>
        <w:spacing w:line="360" w:lineRule="auto"/>
        <w:jc w:val="both"/>
        <w:rPr>
          <w:rFonts w:ascii="Times New Roman" w:hAnsi="Times New Roman" w:cs="Times New Roman"/>
        </w:rPr>
      </w:pPr>
      <w:r>
        <w:rPr>
          <w:rFonts w:ascii="Times New Roman" w:hAnsi="Times New Roman" w:cs="Times New Roman"/>
        </w:rPr>
        <w:t>Manter o padrão de qualidade estabelecido no projeto, utilizando materiais e técnicas compatíveis com a boa prática da engenharia;</w:t>
      </w:r>
    </w:p>
    <w:p w14:paraId="21B9C0A5" w14:textId="77777777" w:rsidR="00431648" w:rsidRDefault="00000000">
      <w:pPr>
        <w:pStyle w:val="SemEspaamento"/>
        <w:numPr>
          <w:ilvl w:val="0"/>
          <w:numId w:val="3"/>
        </w:numPr>
        <w:spacing w:line="360" w:lineRule="auto"/>
        <w:jc w:val="both"/>
        <w:rPr>
          <w:rFonts w:ascii="Times New Roman" w:hAnsi="Times New Roman" w:cs="Times New Roman"/>
        </w:rPr>
      </w:pPr>
      <w:r>
        <w:rPr>
          <w:rFonts w:ascii="Times New Roman" w:hAnsi="Times New Roman" w:cs="Times New Roman"/>
        </w:rPr>
        <w:t>Comunicar formalmente qualquer ocorrência que comprometa a execução dos serviços ao Fiscal do Contrato;</w:t>
      </w:r>
    </w:p>
    <w:p w14:paraId="21B9C0A6" w14:textId="77777777" w:rsidR="00431648" w:rsidRDefault="00000000">
      <w:pPr>
        <w:pStyle w:val="SemEspaamento"/>
        <w:numPr>
          <w:ilvl w:val="0"/>
          <w:numId w:val="3"/>
        </w:numPr>
        <w:spacing w:line="360" w:lineRule="auto"/>
        <w:jc w:val="both"/>
        <w:rPr>
          <w:rFonts w:ascii="Times New Roman" w:hAnsi="Times New Roman" w:cs="Times New Roman"/>
        </w:rPr>
      </w:pPr>
      <w:r>
        <w:rPr>
          <w:rFonts w:ascii="Times New Roman" w:hAnsi="Times New Roman" w:cs="Times New Roman"/>
        </w:rPr>
        <w:t>Prestar esclarecimentos e apresentar documentos sempre que solicitado pela Administração.</w:t>
      </w:r>
    </w:p>
    <w:p w14:paraId="21B9C0A7" w14:textId="77777777" w:rsidR="00431648" w:rsidRDefault="00431648">
      <w:pPr>
        <w:pStyle w:val="SemEspaamento"/>
        <w:spacing w:line="360" w:lineRule="auto"/>
        <w:ind w:left="720"/>
        <w:jc w:val="both"/>
        <w:rPr>
          <w:rFonts w:ascii="Times New Roman" w:hAnsi="Times New Roman" w:cs="Times New Roman"/>
        </w:rPr>
      </w:pPr>
    </w:p>
    <w:p w14:paraId="21B9C0A8" w14:textId="77777777" w:rsidR="00431648" w:rsidRDefault="00000000">
      <w:pPr>
        <w:pStyle w:val="SemEspaamento"/>
        <w:spacing w:line="360" w:lineRule="auto"/>
        <w:ind w:firstLine="360"/>
        <w:jc w:val="both"/>
        <w:rPr>
          <w:rFonts w:ascii="Times New Roman" w:hAnsi="Times New Roman" w:cs="Times New Roman"/>
        </w:rPr>
      </w:pPr>
      <w:r>
        <w:rPr>
          <w:rFonts w:ascii="Times New Roman" w:hAnsi="Times New Roman" w:cs="Times New Roman"/>
          <w:b/>
          <w:bCs/>
        </w:rPr>
        <w:t>Por parte da Administração Pública Municipal:</w:t>
      </w:r>
    </w:p>
    <w:p w14:paraId="21B9C0A9" w14:textId="77777777" w:rsidR="00431648" w:rsidRDefault="00000000">
      <w:pPr>
        <w:pStyle w:val="SemEspaamento"/>
        <w:numPr>
          <w:ilvl w:val="0"/>
          <w:numId w:val="4"/>
        </w:numPr>
        <w:spacing w:line="360" w:lineRule="auto"/>
        <w:jc w:val="both"/>
        <w:rPr>
          <w:rFonts w:ascii="Times New Roman" w:hAnsi="Times New Roman" w:cs="Times New Roman"/>
        </w:rPr>
      </w:pPr>
      <w:r>
        <w:rPr>
          <w:rFonts w:ascii="Times New Roman" w:hAnsi="Times New Roman" w:cs="Times New Roman"/>
          <w:lang w:val="pt-BR"/>
        </w:rPr>
        <w:t>Realização da publicação do edital de licitação, conforme os ritos estabelecidos pela Lei nº 14.133/2021;</w:t>
      </w:r>
    </w:p>
    <w:p w14:paraId="21B9C0AA" w14:textId="77777777" w:rsidR="00431648" w:rsidRDefault="00000000">
      <w:pPr>
        <w:pStyle w:val="SemEspaamento"/>
        <w:numPr>
          <w:ilvl w:val="0"/>
          <w:numId w:val="4"/>
        </w:numPr>
        <w:spacing w:line="360" w:lineRule="auto"/>
        <w:jc w:val="both"/>
        <w:rPr>
          <w:rFonts w:ascii="Times New Roman" w:hAnsi="Times New Roman" w:cs="Times New Roman"/>
        </w:rPr>
      </w:pPr>
      <w:r>
        <w:rPr>
          <w:rFonts w:ascii="Times New Roman" w:hAnsi="Times New Roman" w:cs="Times New Roman"/>
        </w:rPr>
        <w:t>Designar formalmente o(s) fiscal(is) do contrato, conforme os artigos 117 e 118 da Lei nº 14.133/2021, assegurando sua capacitação técnica;</w:t>
      </w:r>
    </w:p>
    <w:p w14:paraId="21B9C0AB" w14:textId="77777777" w:rsidR="00431648" w:rsidRDefault="00000000">
      <w:pPr>
        <w:pStyle w:val="SemEspaamento"/>
        <w:numPr>
          <w:ilvl w:val="0"/>
          <w:numId w:val="4"/>
        </w:numPr>
        <w:spacing w:line="360" w:lineRule="auto"/>
        <w:jc w:val="both"/>
        <w:rPr>
          <w:rFonts w:ascii="Times New Roman" w:hAnsi="Times New Roman" w:cs="Times New Roman"/>
        </w:rPr>
      </w:pPr>
      <w:r>
        <w:rPr>
          <w:rFonts w:ascii="Times New Roman" w:hAnsi="Times New Roman" w:cs="Times New Roman"/>
        </w:rPr>
        <w:t>Providenciar a capacitação dos servidores envolvidos na gestão e fiscalização contratual, visando a melhoria contínua da atuação administrativa;</w:t>
      </w:r>
    </w:p>
    <w:p w14:paraId="21B9C0AC" w14:textId="77777777" w:rsidR="00431648" w:rsidRDefault="00000000">
      <w:pPr>
        <w:pStyle w:val="SemEspaamento"/>
        <w:numPr>
          <w:ilvl w:val="0"/>
          <w:numId w:val="4"/>
        </w:numPr>
        <w:spacing w:line="360" w:lineRule="auto"/>
        <w:jc w:val="both"/>
        <w:rPr>
          <w:rFonts w:ascii="Times New Roman" w:hAnsi="Times New Roman" w:cs="Times New Roman"/>
        </w:rPr>
      </w:pPr>
      <w:r>
        <w:rPr>
          <w:rFonts w:ascii="Times New Roman" w:hAnsi="Times New Roman" w:cs="Times New Roman"/>
        </w:rPr>
        <w:t>Assegurar a disponibilidade orçamentária e financeira para a contratação;</w:t>
      </w:r>
    </w:p>
    <w:p w14:paraId="21B9C0AD" w14:textId="77777777" w:rsidR="00431648" w:rsidRDefault="00000000">
      <w:pPr>
        <w:pStyle w:val="SemEspaamento"/>
        <w:numPr>
          <w:ilvl w:val="0"/>
          <w:numId w:val="4"/>
        </w:numPr>
        <w:spacing w:line="360" w:lineRule="auto"/>
        <w:jc w:val="both"/>
        <w:rPr>
          <w:rFonts w:ascii="Times New Roman" w:hAnsi="Times New Roman" w:cs="Times New Roman"/>
        </w:rPr>
      </w:pPr>
      <w:r>
        <w:rPr>
          <w:rFonts w:ascii="Times New Roman" w:hAnsi="Times New Roman" w:cs="Times New Roman"/>
        </w:rPr>
        <w:t>Verificar o atendimento integral às exigências dos projetos e do planejamento previamente estabelecido, garantindo a segurança jurídica do processo.</w:t>
      </w:r>
    </w:p>
    <w:p w14:paraId="21B9C0AE" w14:textId="77777777" w:rsidR="00431648" w:rsidRDefault="00431648">
      <w:pPr>
        <w:pStyle w:val="SemEspaamento"/>
        <w:spacing w:line="360" w:lineRule="auto"/>
        <w:jc w:val="both"/>
        <w:rPr>
          <w:rFonts w:ascii="Times New Roman" w:hAnsi="Times New Roman" w:cs="Times New Roman"/>
          <w:lang w:val="pt-BR"/>
        </w:rPr>
      </w:pPr>
    </w:p>
    <w:p w14:paraId="21B9C0AF" w14:textId="77777777" w:rsidR="00431648" w:rsidRDefault="00431648">
      <w:pPr>
        <w:pStyle w:val="SemEspaamento"/>
        <w:spacing w:line="360" w:lineRule="auto"/>
        <w:jc w:val="both"/>
        <w:rPr>
          <w:rFonts w:ascii="Times New Roman" w:hAnsi="Times New Roman" w:cs="Times New Roman"/>
          <w:lang w:val="pt-BR"/>
        </w:rPr>
      </w:pPr>
    </w:p>
    <w:p w14:paraId="21B9C0B0" w14:textId="77777777" w:rsidR="00431648" w:rsidRDefault="00431648">
      <w:pPr>
        <w:pStyle w:val="SemEspaamento"/>
        <w:spacing w:line="360" w:lineRule="auto"/>
        <w:jc w:val="both"/>
        <w:rPr>
          <w:rFonts w:ascii="Times New Roman" w:hAnsi="Times New Roman" w:cs="Times New Roman"/>
          <w:lang w:val="pt-BR"/>
        </w:rPr>
      </w:pPr>
    </w:p>
    <w:p w14:paraId="21B9C0B1" w14:textId="77777777" w:rsidR="00431648"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B3" w14:textId="77777777">
        <w:trPr>
          <w:trHeight w:val="367"/>
        </w:trPr>
        <w:tc>
          <w:tcPr>
            <w:tcW w:w="10366" w:type="dxa"/>
            <w:shd w:val="clear" w:color="auto" w:fill="D0CECE" w:themeFill="background2" w:themeFillShade="E6"/>
            <w:vAlign w:val="center"/>
          </w:tcPr>
          <w:p w14:paraId="21B9C0B2" w14:textId="77777777" w:rsidR="00431648" w:rsidRDefault="00000000">
            <w:pPr>
              <w:pStyle w:val="Ttulo"/>
              <w:spacing w:line="360" w:lineRule="auto"/>
              <w:jc w:val="both"/>
              <w:rPr>
                <w:rFonts w:ascii="Times New Roman" w:hAnsi="Times New Roman" w:cs="Times New Roman"/>
              </w:rPr>
            </w:pPr>
            <w:bookmarkStart w:id="12" w:name="_Toc194397108"/>
            <w:r>
              <w:rPr>
                <w:rFonts w:ascii="Times New Roman" w:hAnsi="Times New Roman" w:cs="Times New Roman"/>
              </w:rPr>
              <w:lastRenderedPageBreak/>
              <w:t>12. CONTRATAÇÕES CORRELATAS E/OU INTERDEPENDENTES (art. 18º, §1º, INCISO “XI”)</w:t>
            </w:r>
            <w:bookmarkEnd w:id="12"/>
          </w:p>
        </w:tc>
      </w:tr>
    </w:tbl>
    <w:p w14:paraId="21B9C0B4" w14:textId="77777777" w:rsidR="00431648" w:rsidRDefault="00431648">
      <w:pPr>
        <w:pStyle w:val="SemEspaamento"/>
        <w:spacing w:line="360" w:lineRule="auto"/>
        <w:jc w:val="both"/>
        <w:rPr>
          <w:rFonts w:ascii="Times New Roman" w:hAnsi="Times New Roman" w:cs="Times New Roman"/>
          <w:lang w:val="pt-BR"/>
        </w:rPr>
      </w:pPr>
    </w:p>
    <w:p w14:paraId="21B9C0B5"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contratações correlatas e/ou interdependentes; (inciso XI do § 1° do art. 18 da Lei 14.133/21 e Seção VI do Decreto Municipal 11.685/2023).</w:t>
      </w:r>
    </w:p>
    <w:p w14:paraId="21B9C0B6"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ab/>
      </w:r>
    </w:p>
    <w:p w14:paraId="21B9C0B7"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lang w:val="pt-BR"/>
        </w:rPr>
        <w:tab/>
        <w:t>Em análise geral, verifica-se que</w:t>
      </w:r>
      <w:r>
        <w:rPr>
          <w:rFonts w:ascii="Times New Roman" w:hAnsi="Times New Roman" w:cs="Times New Roman"/>
        </w:rPr>
        <w:t xml:space="preserve"> a presente contratação possui escopo definido e contempla todas as etapas necessárias para a execução da obra do ESF Sagrada Família, </w:t>
      </w:r>
      <w:r>
        <w:rPr>
          <w:rFonts w:ascii="Times New Roman" w:hAnsi="Times New Roman" w:cs="Times New Roman"/>
          <w:lang w:val="pt-BR"/>
        </w:rPr>
        <w:t>de modo que não há necessidade de contratações correlatadas ou interdependentes dentro do processo licitatório principal.</w:t>
      </w:r>
    </w:p>
    <w:p w14:paraId="21B9C0B8"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Entretanto, para que a unidade de saúde esteja plenamente apta a operar e atender à população com qualidade, serão necessárias contratações complementares, de forma paralela ou posterior à obra principal. Tais aquisições, embora não façam parte deste processo licitatório, são fundamentais para a funcionalidade integral da edificação.</w:t>
      </w:r>
    </w:p>
    <w:p w14:paraId="21B9C0B9"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lang w:val="pt-BR"/>
        </w:rPr>
        <w:tab/>
      </w:r>
      <w:r>
        <w:rPr>
          <w:rFonts w:ascii="Times New Roman" w:hAnsi="Times New Roman" w:cs="Times New Roman"/>
        </w:rPr>
        <w:t>Entre as possíveis contratações complementares estão:</w:t>
      </w:r>
    </w:p>
    <w:p w14:paraId="21B9C0BA" w14:textId="77777777" w:rsidR="00431648" w:rsidRDefault="00000000">
      <w:pPr>
        <w:pStyle w:val="SemEspaamento"/>
        <w:numPr>
          <w:ilvl w:val="1"/>
          <w:numId w:val="5"/>
        </w:numPr>
        <w:spacing w:line="360" w:lineRule="auto"/>
        <w:jc w:val="both"/>
        <w:rPr>
          <w:rFonts w:ascii="Times New Roman" w:hAnsi="Times New Roman" w:cs="Times New Roman"/>
        </w:rPr>
      </w:pPr>
      <w:r>
        <w:rPr>
          <w:rFonts w:ascii="Times New Roman" w:hAnsi="Times New Roman" w:cs="Times New Roman"/>
        </w:rPr>
        <w:t>Aquisição de mobiliário e equipamentos médicos e hospitalares;</w:t>
      </w:r>
    </w:p>
    <w:p w14:paraId="21B9C0BB" w14:textId="77777777" w:rsidR="00431648" w:rsidRDefault="00000000">
      <w:pPr>
        <w:pStyle w:val="SemEspaamento"/>
        <w:numPr>
          <w:ilvl w:val="1"/>
          <w:numId w:val="5"/>
        </w:numPr>
        <w:spacing w:line="360" w:lineRule="auto"/>
        <w:jc w:val="both"/>
        <w:rPr>
          <w:rFonts w:ascii="Times New Roman" w:hAnsi="Times New Roman" w:cs="Times New Roman"/>
        </w:rPr>
      </w:pPr>
      <w:r>
        <w:rPr>
          <w:rFonts w:ascii="Times New Roman" w:hAnsi="Times New Roman" w:cs="Times New Roman"/>
        </w:rPr>
        <w:t>Aquisição e instalação de equipamentos de informática e rede de dados.</w:t>
      </w:r>
    </w:p>
    <w:p w14:paraId="21B9C0BC" w14:textId="77777777" w:rsidR="00431648"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BE" w14:textId="77777777">
        <w:trPr>
          <w:trHeight w:val="367"/>
        </w:trPr>
        <w:tc>
          <w:tcPr>
            <w:tcW w:w="10366" w:type="dxa"/>
            <w:shd w:val="clear" w:color="auto" w:fill="D0CECE" w:themeFill="background2" w:themeFillShade="E6"/>
            <w:vAlign w:val="center"/>
          </w:tcPr>
          <w:p w14:paraId="21B9C0BD" w14:textId="77777777" w:rsidR="00431648" w:rsidRDefault="00000000">
            <w:pPr>
              <w:pStyle w:val="Ttulo"/>
              <w:spacing w:line="360" w:lineRule="auto"/>
              <w:jc w:val="both"/>
              <w:rPr>
                <w:rFonts w:ascii="Times New Roman" w:hAnsi="Times New Roman" w:cs="Times New Roman"/>
              </w:rPr>
            </w:pPr>
            <w:bookmarkStart w:id="13" w:name="_Toc194397109"/>
            <w:r>
              <w:rPr>
                <w:rFonts w:ascii="Times New Roman" w:hAnsi="Times New Roman" w:cs="Times New Roman"/>
              </w:rPr>
              <w:t>13. DESCRIÇÃO DE POSSÍVEIS IMPACTOS AMBIENTAIS (art. 18º, §1º, INCISO “XII”)</w:t>
            </w:r>
            <w:bookmarkEnd w:id="13"/>
          </w:p>
        </w:tc>
      </w:tr>
    </w:tbl>
    <w:p w14:paraId="21B9C0BF" w14:textId="77777777" w:rsidR="00431648" w:rsidRDefault="00431648">
      <w:pPr>
        <w:pStyle w:val="SemEspaamento"/>
        <w:spacing w:line="360" w:lineRule="auto"/>
        <w:jc w:val="both"/>
        <w:rPr>
          <w:rFonts w:ascii="Times New Roman" w:hAnsi="Times New Roman" w:cs="Times New Roman"/>
          <w:lang w:val="pt-BR"/>
        </w:rPr>
      </w:pPr>
    </w:p>
    <w:p w14:paraId="21B9C0C0"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de possíveis impactos ambientais e respectivas medidas mitigadoras, incluídos requisitos de baixo consumo de energia e de outros recursos, bem como logística reversa para desfazimento e reciclagem de bens e refugos, quando aplicável; (inciso XI do § 1° do art. 18 da Lei 14.133/21 e Seção VI do Decreto Municipal 11.685/2023).</w:t>
      </w:r>
    </w:p>
    <w:p w14:paraId="21B9C0C1" w14:textId="77777777" w:rsidR="00431648" w:rsidRDefault="00431648">
      <w:pPr>
        <w:pStyle w:val="SemEspaamento"/>
        <w:spacing w:line="360" w:lineRule="auto"/>
        <w:jc w:val="both"/>
        <w:rPr>
          <w:rFonts w:ascii="Times New Roman" w:hAnsi="Times New Roman" w:cs="Times New Roman"/>
          <w:lang w:val="pt-BR"/>
        </w:rPr>
      </w:pPr>
    </w:p>
    <w:p w14:paraId="21B9C0C2"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A execução da obra de construção do ESF Sagrada Família poderá ocasionar impactos ambientais típicos de empreendimentos da construção civil, sobretudo no que se refere à movimentação de terra, geração de resíduos sólidos, emissão de poeira e ruídos, e consumo de recursos naturais como água e energia elétrica.</w:t>
      </w:r>
    </w:p>
    <w:p w14:paraId="21B9C0C3"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Entretanto, tais impactos são considerados de baixa complexidade, previsíveis e mitigáveis, desde que sejam adotadas medidas preventivas e corretivas durante a execução da obra, tais como:</w:t>
      </w:r>
    </w:p>
    <w:p w14:paraId="21B9C0C4" w14:textId="77777777" w:rsidR="00431648" w:rsidRDefault="00000000">
      <w:pPr>
        <w:pStyle w:val="SemEspaamento"/>
        <w:numPr>
          <w:ilvl w:val="1"/>
          <w:numId w:val="5"/>
        </w:numPr>
        <w:spacing w:line="360" w:lineRule="auto"/>
        <w:jc w:val="both"/>
        <w:rPr>
          <w:rFonts w:ascii="Times New Roman" w:hAnsi="Times New Roman" w:cs="Times New Roman"/>
        </w:rPr>
      </w:pPr>
      <w:r>
        <w:rPr>
          <w:rFonts w:ascii="Times New Roman" w:hAnsi="Times New Roman" w:cs="Times New Roman"/>
        </w:rPr>
        <w:t>Destinação adequada dos resíduos sólidos conforme normas ambientais vigentes;</w:t>
      </w:r>
    </w:p>
    <w:p w14:paraId="21B9C0C5" w14:textId="77777777" w:rsidR="00431648" w:rsidRDefault="00000000">
      <w:pPr>
        <w:pStyle w:val="SemEspaamento"/>
        <w:numPr>
          <w:ilvl w:val="1"/>
          <w:numId w:val="5"/>
        </w:numPr>
        <w:spacing w:line="360" w:lineRule="auto"/>
        <w:jc w:val="both"/>
        <w:rPr>
          <w:rFonts w:ascii="Times New Roman" w:hAnsi="Times New Roman" w:cs="Times New Roman"/>
        </w:rPr>
      </w:pPr>
      <w:r>
        <w:rPr>
          <w:rFonts w:ascii="Times New Roman" w:hAnsi="Times New Roman" w:cs="Times New Roman"/>
        </w:rPr>
        <w:t>Controle da emissão de partículas e poluentes atmosféricos, principalmente em atividades de terraplanagem e corte de materiais;</w:t>
      </w:r>
    </w:p>
    <w:p w14:paraId="21B9C0C6" w14:textId="77777777" w:rsidR="00431648" w:rsidRDefault="00000000">
      <w:pPr>
        <w:pStyle w:val="SemEspaamento"/>
        <w:numPr>
          <w:ilvl w:val="1"/>
          <w:numId w:val="5"/>
        </w:numPr>
        <w:spacing w:line="360" w:lineRule="auto"/>
        <w:jc w:val="both"/>
        <w:rPr>
          <w:rFonts w:ascii="Times New Roman" w:hAnsi="Times New Roman" w:cs="Times New Roman"/>
        </w:rPr>
      </w:pPr>
      <w:r>
        <w:rPr>
          <w:rFonts w:ascii="Times New Roman" w:hAnsi="Times New Roman" w:cs="Times New Roman"/>
        </w:rPr>
        <w:t>Uso racional de água e energia durante a obra;</w:t>
      </w:r>
    </w:p>
    <w:p w14:paraId="21B9C0C7" w14:textId="77777777" w:rsidR="00431648" w:rsidRDefault="00000000">
      <w:pPr>
        <w:pStyle w:val="SemEspaamento"/>
        <w:numPr>
          <w:ilvl w:val="1"/>
          <w:numId w:val="5"/>
        </w:numPr>
        <w:spacing w:line="360" w:lineRule="auto"/>
        <w:jc w:val="both"/>
        <w:rPr>
          <w:rFonts w:ascii="Times New Roman" w:hAnsi="Times New Roman" w:cs="Times New Roman"/>
        </w:rPr>
      </w:pPr>
      <w:r>
        <w:rPr>
          <w:rFonts w:ascii="Times New Roman" w:hAnsi="Times New Roman" w:cs="Times New Roman"/>
        </w:rPr>
        <w:t>Redução da poluição sonora mediante o uso de equipamentos dentro dos padrões definidos pela legislação ambiental;</w:t>
      </w:r>
    </w:p>
    <w:p w14:paraId="21B9C0C8" w14:textId="77777777" w:rsidR="00431648" w:rsidRDefault="00000000">
      <w:pPr>
        <w:pStyle w:val="SemEspaamento"/>
        <w:numPr>
          <w:ilvl w:val="1"/>
          <w:numId w:val="5"/>
        </w:numPr>
        <w:spacing w:line="360" w:lineRule="auto"/>
        <w:jc w:val="both"/>
        <w:rPr>
          <w:rFonts w:ascii="Times New Roman" w:hAnsi="Times New Roman" w:cs="Times New Roman"/>
        </w:rPr>
      </w:pPr>
      <w:r>
        <w:rPr>
          <w:rFonts w:ascii="Times New Roman" w:hAnsi="Times New Roman" w:cs="Times New Roman"/>
        </w:rPr>
        <w:lastRenderedPageBreak/>
        <w:t>Preservação das áreas verdes do entorno e cuidado com o descarte de efluentes líquidos.</w:t>
      </w:r>
    </w:p>
    <w:p w14:paraId="21B9C0C9"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A contratada deverá observar as normas técnicas da ABNT, diretrizes da Política Nacional de Meio Ambiente (Lei nº 6.938/1981), Resoluções do CONAMA e demais legislações ambientais aplicáveis. A fiscalização ambiental será realizada pela Administração Pública, assegurando a conformidade das ações com os padrões sustentáveis exigidos.</w:t>
      </w:r>
    </w:p>
    <w:p w14:paraId="21B9C0CA"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A contratada deverá ter pleno conhecimento e se responsabilizar pelo trabalho seguro das pessoas envolvidas no manuseio de ferramentas, equipamentos e produtos inflamáveis, conforme legislação vigente do Ministério do Trabalho. Deverá, ainda, adotar práticas de segurança do trabalho e meio ambiente que minimizem riscos ocupacionais e impactos negativos ao meio ambiente.</w:t>
      </w:r>
    </w:p>
    <w:p w14:paraId="21B9C0CB"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Além disso, a contratada será integralmente responsável por quaisquer ações e/ou omissões relativas ao manejo de resíduos e rejeitos sólidos, líquidos ou derivados, nos locais da obra, sendo obrigada a removê-los e garantir sua destinação ambientalmente correta, conforme a legislação pertinente.</w:t>
      </w:r>
    </w:p>
    <w:p w14:paraId="21B9C0CC"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A fiscalização ambiental será realizada pela Administração Pública Municipal, assegurando a conformidade das ações com os padrões sustentáveis exigidos.</w:t>
      </w:r>
    </w:p>
    <w:p w14:paraId="21B9C0CD" w14:textId="77777777" w:rsidR="00431648" w:rsidRDefault="00431648">
      <w:pPr>
        <w:pStyle w:val="SemEspaamento"/>
        <w:spacing w:line="360" w:lineRule="auto"/>
        <w:ind w:firstLine="720"/>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CF" w14:textId="77777777">
        <w:trPr>
          <w:trHeight w:val="367"/>
        </w:trPr>
        <w:tc>
          <w:tcPr>
            <w:tcW w:w="10366" w:type="dxa"/>
            <w:shd w:val="clear" w:color="auto" w:fill="D0CECE" w:themeFill="background2" w:themeFillShade="E6"/>
            <w:vAlign w:val="center"/>
          </w:tcPr>
          <w:p w14:paraId="21B9C0CE" w14:textId="77777777" w:rsidR="00431648" w:rsidRDefault="00000000">
            <w:pPr>
              <w:pStyle w:val="Ttulo"/>
              <w:spacing w:line="360" w:lineRule="auto"/>
              <w:jc w:val="both"/>
              <w:rPr>
                <w:rFonts w:ascii="Times New Roman" w:hAnsi="Times New Roman" w:cs="Times New Roman"/>
              </w:rPr>
            </w:pPr>
            <w:bookmarkStart w:id="14" w:name="_Toc194397110"/>
            <w:r>
              <w:rPr>
                <w:rFonts w:ascii="Times New Roman" w:hAnsi="Times New Roman" w:cs="Times New Roman"/>
              </w:rPr>
              <w:t>14. POSICIONAMENTO CONCLUSIVO SOBRE A VIABILIDADE DA CONTRATAÇÃO (art. 18º, §1º, INCISO “XIII”)</w:t>
            </w:r>
            <w:bookmarkEnd w:id="14"/>
          </w:p>
        </w:tc>
      </w:tr>
    </w:tbl>
    <w:p w14:paraId="21B9C0D0" w14:textId="77777777" w:rsidR="00431648" w:rsidRDefault="00431648">
      <w:pPr>
        <w:pStyle w:val="SemEspaamento"/>
        <w:spacing w:line="360" w:lineRule="auto"/>
        <w:jc w:val="both"/>
        <w:rPr>
          <w:rFonts w:ascii="Times New Roman" w:hAnsi="Times New Roman" w:cs="Times New Roman"/>
          <w:lang w:val="pt-BR"/>
        </w:rPr>
      </w:pPr>
    </w:p>
    <w:p w14:paraId="21B9C0D1"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posicionamento conclusivo sobre a adequação da contratação para o atendimento da necessidade a que se destina.; (inciso XI do § 1° do art. 18 da Lei 14.133/21 e Seção VI do Decreto Municipal 11.685/2023).</w:t>
      </w:r>
    </w:p>
    <w:p w14:paraId="21B9C0D2"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lang w:val="pt-BR"/>
        </w:rPr>
        <w:tab/>
      </w:r>
      <w:r>
        <w:rPr>
          <w:rFonts w:ascii="Times New Roman" w:hAnsi="Times New Roman" w:cs="Times New Roman"/>
        </w:rPr>
        <w:t>A partir das análises desenvolvidas neste Estudo Técnico Preliminar, verifica-se que a contratação para a execução da obra da Construção ESF Sagrada Família, é plenamente viável, estratégica e justificada diante das necessidades identificadas na rede pública de saúde.</w:t>
      </w:r>
    </w:p>
    <w:p w14:paraId="21B9C0D3"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A proposta atende a uma demanda concreta da população por atendimento basico de saúde na região e se apresenta como alternativa eficiente para a reorganização do fluxo de atendimentos atualmente sobrecarregado nas unidades de pronto atendimento.</w:t>
      </w:r>
    </w:p>
    <w:p w14:paraId="21B9C0D4"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 xml:space="preserve">A definição do escopo, a existência de projeto técnico detalhado e a escolha da </w:t>
      </w:r>
      <w:r>
        <w:rPr>
          <w:rFonts w:ascii="Times New Roman" w:hAnsi="Times New Roman" w:cs="Times New Roman"/>
          <w:b/>
          <w:bCs/>
        </w:rPr>
        <w:t xml:space="preserve">empreitada por preço unitário </w:t>
      </w:r>
      <w:r>
        <w:rPr>
          <w:rFonts w:ascii="Times New Roman" w:hAnsi="Times New Roman" w:cs="Times New Roman"/>
        </w:rPr>
        <w:t>como regime de execução asseguram previsibilidade, controle e eficiência à contratação, garantindo o cumprimento dos prazos e a qualidade dos serviços a serem prestados.</w:t>
      </w:r>
    </w:p>
    <w:p w14:paraId="21B9C0D5"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 xml:space="preserve">O valor estimado da obra, de R$ </w:t>
      </w:r>
      <w:r>
        <w:rPr>
          <w:rFonts w:ascii="Times New Roman" w:hAnsi="Times New Roman" w:cs="Times New Roman"/>
          <w:b/>
          <w:bCs/>
        </w:rPr>
        <w:t>3.138.589,91</w:t>
      </w:r>
      <w:r>
        <w:rPr>
          <w:rFonts w:ascii="Times New Roman" w:hAnsi="Times New Roman" w:cs="Times New Roman"/>
        </w:rPr>
        <w:t>, será ajustado conforme a realidade orçamentária do município, assegurando compatibilidade entre o custo e os benefícios esperados.</w:t>
      </w:r>
    </w:p>
    <w:p w14:paraId="21B9C0D6"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 xml:space="preserve">Diante do exposto, recomenda-se a continuidade do processo administrativo com vistas à formalização da </w:t>
      </w:r>
      <w:r>
        <w:rPr>
          <w:rFonts w:ascii="Times New Roman" w:hAnsi="Times New Roman" w:cs="Times New Roman"/>
        </w:rPr>
        <w:lastRenderedPageBreak/>
        <w:t xml:space="preserve">contratação, por meio de licitação na modalidade </w:t>
      </w:r>
      <w:r>
        <w:rPr>
          <w:rFonts w:ascii="Times New Roman" w:hAnsi="Times New Roman" w:cs="Times New Roman"/>
          <w:b/>
          <w:bCs/>
        </w:rPr>
        <w:t>Concorrência</w:t>
      </w:r>
      <w:r>
        <w:rPr>
          <w:rFonts w:ascii="Times New Roman" w:hAnsi="Times New Roman" w:cs="Times New Roman"/>
        </w:rPr>
        <w:t>, conforme art. 28, inciso II, da Lei nº 14.133/2021, garantindo ampla participação, isonomia entre os concorrentes e a seleção da proposta mais vantajosa para o interesse público.</w:t>
      </w:r>
    </w:p>
    <w:p w14:paraId="21B9C0D7" w14:textId="77777777" w:rsidR="00431648" w:rsidRDefault="00431648">
      <w:pPr>
        <w:pStyle w:val="SemEspaamento"/>
        <w:spacing w:line="360" w:lineRule="auto"/>
        <w:jc w:val="both"/>
        <w:rPr>
          <w:rFonts w:ascii="Times New Roman" w:hAnsi="Times New Roman" w:cs="Times New Roman"/>
          <w:lang w:val="pt-BR"/>
        </w:rPr>
      </w:pPr>
    </w:p>
    <w:p w14:paraId="21B9C0D8" w14:textId="77777777" w:rsidR="00431648" w:rsidRDefault="00431648">
      <w:pPr>
        <w:pStyle w:val="SemEspaamento"/>
        <w:spacing w:line="360" w:lineRule="auto"/>
        <w:jc w:val="both"/>
        <w:rPr>
          <w:rFonts w:ascii="Times New Roman" w:hAnsi="Times New Roman" w:cs="Times New Roman"/>
          <w:lang w:val="pt-BR"/>
        </w:rPr>
      </w:pPr>
    </w:p>
    <w:p w14:paraId="21B9C0D9" w14:textId="77777777" w:rsidR="00431648" w:rsidRDefault="00431648">
      <w:pPr>
        <w:pStyle w:val="SemEspaamento"/>
        <w:spacing w:line="360" w:lineRule="auto"/>
        <w:jc w:val="both"/>
        <w:rPr>
          <w:rFonts w:ascii="Times New Roman" w:hAnsi="Times New Roman" w:cs="Times New Roman"/>
          <w:lang w:val="pt-BR"/>
        </w:rPr>
      </w:pPr>
    </w:p>
    <w:p w14:paraId="21B9C0DA" w14:textId="77777777" w:rsidR="00431648" w:rsidRDefault="00431648">
      <w:pPr>
        <w:pStyle w:val="SemEspaamento"/>
        <w:spacing w:line="360" w:lineRule="auto"/>
        <w:jc w:val="both"/>
        <w:rPr>
          <w:rFonts w:ascii="Times New Roman" w:hAnsi="Times New Roman" w:cs="Times New Roman"/>
          <w:lang w:val="pt-BR"/>
        </w:rPr>
      </w:pPr>
    </w:p>
    <w:p w14:paraId="21B9C0DB" w14:textId="77777777" w:rsidR="00431648" w:rsidRDefault="00431648">
      <w:pPr>
        <w:pStyle w:val="SemEspaamento"/>
        <w:spacing w:line="360" w:lineRule="auto"/>
        <w:jc w:val="both"/>
        <w:rPr>
          <w:rFonts w:ascii="Times New Roman" w:hAnsi="Times New Roman" w:cs="Times New Roman"/>
          <w:lang w:val="pt-BR"/>
        </w:rPr>
      </w:pPr>
    </w:p>
    <w:p w14:paraId="21B9C0DC" w14:textId="77777777" w:rsidR="00431648" w:rsidRDefault="00431648">
      <w:pPr>
        <w:pStyle w:val="SemEspaamento"/>
        <w:spacing w:line="360" w:lineRule="auto"/>
        <w:jc w:val="both"/>
        <w:rPr>
          <w:rFonts w:ascii="Times New Roman" w:hAnsi="Times New Roman" w:cs="Times New Roman"/>
          <w:lang w:val="pt-BR"/>
        </w:rPr>
      </w:pPr>
    </w:p>
    <w:p w14:paraId="21B9C0DD" w14:textId="77777777" w:rsidR="00431648" w:rsidRDefault="00431648">
      <w:pPr>
        <w:pStyle w:val="SemEspaamento"/>
        <w:spacing w:line="360" w:lineRule="auto"/>
        <w:jc w:val="both"/>
        <w:rPr>
          <w:rFonts w:ascii="Times New Roman" w:hAnsi="Times New Roman" w:cs="Times New Roman"/>
          <w:lang w:val="pt-BR"/>
        </w:rPr>
      </w:pPr>
    </w:p>
    <w:p w14:paraId="21B9C0DE" w14:textId="77777777" w:rsidR="00431648" w:rsidRDefault="00000000">
      <w:pPr>
        <w:pStyle w:val="SemEspaamento"/>
        <w:spacing w:line="360" w:lineRule="auto"/>
        <w:jc w:val="right"/>
        <w:rPr>
          <w:rFonts w:ascii="Times New Roman" w:hAnsi="Times New Roman" w:cs="Times New Roman"/>
          <w:lang w:val="pt-BR"/>
        </w:rPr>
      </w:pPr>
      <w:r>
        <w:rPr>
          <w:rFonts w:ascii="Times New Roman" w:hAnsi="Times New Roman" w:cs="Times New Roman"/>
          <w:lang w:val="pt-BR"/>
        </w:rPr>
        <w:t>Rondonópolis, 24 de dezembro de 2025.</w:t>
      </w:r>
    </w:p>
    <w:p w14:paraId="21B9C0DF" w14:textId="77777777" w:rsidR="00431648" w:rsidRDefault="00431648">
      <w:pPr>
        <w:pStyle w:val="SemEspaamento"/>
        <w:spacing w:line="360" w:lineRule="auto"/>
        <w:jc w:val="right"/>
        <w:rPr>
          <w:rFonts w:ascii="Times New Roman" w:hAnsi="Times New Roman" w:cs="Times New Roman"/>
          <w:lang w:val="pt-BR"/>
        </w:rPr>
      </w:pPr>
    </w:p>
    <w:p w14:paraId="21B9C0E0" w14:textId="77777777" w:rsidR="00431648" w:rsidRDefault="00431648">
      <w:pPr>
        <w:pStyle w:val="SemEspaamento"/>
        <w:spacing w:line="360" w:lineRule="auto"/>
        <w:jc w:val="right"/>
        <w:rPr>
          <w:rFonts w:ascii="Times New Roman" w:hAnsi="Times New Roman" w:cs="Times New Roman"/>
          <w:lang w:val="pt-BR"/>
        </w:rPr>
      </w:pPr>
    </w:p>
    <w:p w14:paraId="21B9C0E1" w14:textId="77777777" w:rsidR="00431648" w:rsidRDefault="00431648">
      <w:pPr>
        <w:pStyle w:val="SemEspaamento"/>
        <w:spacing w:line="360" w:lineRule="auto"/>
        <w:jc w:val="right"/>
        <w:rPr>
          <w:rFonts w:ascii="Times New Roman" w:hAnsi="Times New Roman" w:cs="Times New Roman"/>
          <w:lang w:val="pt-BR"/>
        </w:rPr>
      </w:pPr>
    </w:p>
    <w:p w14:paraId="21B9C0E2" w14:textId="77777777" w:rsidR="00431648" w:rsidRDefault="00431648">
      <w:pPr>
        <w:pStyle w:val="SemEspaamento"/>
        <w:spacing w:line="360" w:lineRule="auto"/>
        <w:jc w:val="right"/>
        <w:rPr>
          <w:rFonts w:ascii="Times New Roman" w:hAnsi="Times New Roman" w:cs="Times New Roman"/>
          <w:lang w:val="pt-BR"/>
        </w:rPr>
      </w:pPr>
    </w:p>
    <w:p w14:paraId="21B9C0E3" w14:textId="77777777" w:rsidR="00431648" w:rsidRDefault="00431648">
      <w:pPr>
        <w:pStyle w:val="SemEspaamento"/>
        <w:spacing w:line="360" w:lineRule="auto"/>
        <w:jc w:val="right"/>
        <w:rPr>
          <w:rFonts w:ascii="Times New Roman" w:hAnsi="Times New Roman" w:cs="Times New Roman"/>
          <w:lang w:val="pt-BR"/>
        </w:rPr>
      </w:pPr>
    </w:p>
    <w:p w14:paraId="21B9C0E4" w14:textId="77777777" w:rsidR="00431648" w:rsidRDefault="00000000">
      <w:pPr>
        <w:ind w:right="454"/>
        <w:jc w:val="center"/>
      </w:pPr>
      <w:r>
        <w:rPr>
          <w:rFonts w:ascii="Century Gothic" w:hAnsi="Century Gothic"/>
          <w:b/>
          <w:bCs/>
          <w:color w:val="000000"/>
          <w:lang w:eastAsia="zh-CN"/>
          <w14:shadow w14:blurRad="50800" w14:dist="38100" w14:dir="2700000" w14:sx="100000" w14:sy="100000" w14:kx="0" w14:ky="0" w14:algn="tl">
            <w14:srgbClr w14:val="000000">
              <w14:alpha w14:val="60000"/>
            </w14:srgbClr>
          </w14:shadow>
        </w:rPr>
        <w:t>Débora Betânia de Carvalho Santos</w:t>
      </w:r>
    </w:p>
    <w:p w14:paraId="21B9C0E5" w14:textId="77777777" w:rsidR="00431648" w:rsidRDefault="00000000">
      <w:pPr>
        <w:ind w:right="454"/>
        <w:jc w:val="center"/>
      </w:pPr>
      <w:r>
        <w:rPr>
          <w:rFonts w:ascii="Century Gothic" w:hAnsi="Century Gothic"/>
          <w:i/>
        </w:rPr>
        <w:t>Gerente de Departamento de Engenharia e Arquitetura - Saúde</w:t>
      </w:r>
    </w:p>
    <w:p w14:paraId="21B9C0E6" w14:textId="77777777" w:rsidR="00431648" w:rsidRDefault="00000000">
      <w:pPr>
        <w:pStyle w:val="Standard"/>
        <w:jc w:val="center"/>
        <w:rPr>
          <w:rFonts w:ascii="Century Gothic" w:eastAsiaTheme="minorHAnsi" w:hAnsi="Century Gothic" w:cstheme="minorBidi"/>
          <w:b/>
          <w:bCs/>
          <w:color w:val="000000"/>
          <w:kern w:val="0"/>
          <w:sz w:val="20"/>
          <w:szCs w:val="20"/>
          <w:lang w:val="pt-BR" w:eastAsia="en-US" w:bidi="ar-SA"/>
        </w:rPr>
      </w:pPr>
      <w:r>
        <w:rPr>
          <w:rFonts w:ascii="Century Gothic" w:eastAsiaTheme="minorHAnsi" w:hAnsi="Century Gothic" w:cstheme="minorBidi"/>
          <w:b/>
          <w:bCs/>
          <w:color w:val="000000"/>
          <w:kern w:val="0"/>
          <w:sz w:val="20"/>
          <w:szCs w:val="20"/>
          <w:lang w:val="pt-BR" w:eastAsia="en-US" w:bidi="ar-SA"/>
        </w:rPr>
        <w:t>Portaria nº 38.086/2025</w:t>
      </w:r>
    </w:p>
    <w:p w14:paraId="21B9C0E7" w14:textId="77777777" w:rsidR="00431648" w:rsidRDefault="00431648">
      <w:pPr>
        <w:pStyle w:val="SemEspaamento"/>
        <w:spacing w:line="360" w:lineRule="auto"/>
        <w:jc w:val="center"/>
        <w:rPr>
          <w:rFonts w:ascii="Times New Roman" w:hAnsi="Times New Roman" w:cs="Times New Roman"/>
          <w:lang w:val="pt-BR"/>
        </w:rPr>
      </w:pPr>
    </w:p>
    <w:p w14:paraId="21B9C0E8" w14:textId="77777777" w:rsidR="00431648" w:rsidRDefault="00431648">
      <w:pPr>
        <w:pStyle w:val="SemEspaamento"/>
        <w:spacing w:line="360" w:lineRule="auto"/>
        <w:jc w:val="center"/>
        <w:rPr>
          <w:rFonts w:ascii="Times New Roman" w:hAnsi="Times New Roman" w:cs="Times New Roman"/>
          <w:lang w:val="pt-BR"/>
        </w:rPr>
      </w:pPr>
    </w:p>
    <w:p w14:paraId="21B9C0E9" w14:textId="77777777" w:rsidR="00431648" w:rsidRDefault="00431648">
      <w:pPr>
        <w:pStyle w:val="SemEspaamento"/>
        <w:spacing w:line="360" w:lineRule="auto"/>
        <w:jc w:val="center"/>
        <w:rPr>
          <w:rFonts w:ascii="Times New Roman" w:hAnsi="Times New Roman" w:cs="Times New Roman"/>
          <w:lang w:val="pt-BR"/>
        </w:rPr>
      </w:pPr>
    </w:p>
    <w:p w14:paraId="21B9C0EA" w14:textId="77777777" w:rsidR="00431648" w:rsidRDefault="00431648">
      <w:pPr>
        <w:pStyle w:val="SemEspaamento"/>
        <w:spacing w:line="360" w:lineRule="auto"/>
        <w:jc w:val="center"/>
        <w:rPr>
          <w:rFonts w:ascii="Times New Roman" w:hAnsi="Times New Roman" w:cs="Times New Roman"/>
          <w:lang w:val="pt-BR"/>
        </w:rPr>
      </w:pPr>
    </w:p>
    <w:p w14:paraId="21B9C0EB" w14:textId="77777777" w:rsidR="00431648" w:rsidRDefault="00431648">
      <w:pPr>
        <w:pStyle w:val="SemEspaamento"/>
        <w:spacing w:line="360" w:lineRule="auto"/>
        <w:jc w:val="center"/>
        <w:rPr>
          <w:rFonts w:ascii="Times New Roman" w:hAnsi="Times New Roman" w:cs="Times New Roman"/>
          <w:lang w:val="pt-BR"/>
        </w:rPr>
      </w:pPr>
    </w:p>
    <w:p w14:paraId="21B9C0EC" w14:textId="77777777" w:rsidR="00431648" w:rsidRDefault="00431648">
      <w:pPr>
        <w:pStyle w:val="SemEspaamento"/>
        <w:spacing w:line="360" w:lineRule="auto"/>
        <w:rPr>
          <w:rFonts w:ascii="Times New Roman" w:hAnsi="Times New Roman" w:cs="Times New Roman"/>
          <w:lang w:val="pt-BR"/>
        </w:rPr>
      </w:pPr>
    </w:p>
    <w:p w14:paraId="21B9C0ED" w14:textId="77777777" w:rsidR="00431648" w:rsidRDefault="00431648">
      <w:pPr>
        <w:pStyle w:val="SemEspaamento"/>
        <w:spacing w:line="360" w:lineRule="auto"/>
        <w:rPr>
          <w:rFonts w:ascii="Times New Roman" w:hAnsi="Times New Roman" w:cs="Times New Roman"/>
          <w:lang w:val="pt-BR"/>
        </w:rPr>
      </w:pPr>
    </w:p>
    <w:sectPr w:rsidR="00431648">
      <w:headerReference w:type="even" r:id="rId13"/>
      <w:headerReference w:type="default" r:id="rId14"/>
      <w:footerReference w:type="even" r:id="rId15"/>
      <w:footerReference w:type="default" r:id="rId16"/>
      <w:headerReference w:type="first" r:id="rId17"/>
      <w:footerReference w:type="first" r:id="rId18"/>
      <w:pgSz w:w="11906" w:h="16838"/>
      <w:pgMar w:top="2609" w:right="765" w:bottom="720" w:left="765" w:header="2268" w:footer="510" w:gutter="0"/>
      <w:pgNumType w:start="1"/>
      <w:cols w:space="720"/>
      <w:formProt w:val="0"/>
      <w:docGrid w:linePitch="299"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9BE75E" w14:textId="77777777" w:rsidR="008C4E6A" w:rsidRDefault="008C4E6A">
      <w:r>
        <w:separator/>
      </w:r>
    </w:p>
  </w:endnote>
  <w:endnote w:type="continuationSeparator" w:id="0">
    <w:p w14:paraId="777CB5A7" w14:textId="77777777" w:rsidR="008C4E6A" w:rsidRDefault="008C4E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Hei">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cofont_Spranq_eco_Sans">
    <w:altName w:val="AMGDT"/>
    <w:charset w:val="00"/>
    <w:family w:val="swiss"/>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Liberation Serif">
    <w:altName w:val="Times New Roman"/>
    <w:charset w:val="00"/>
    <w:family w:val="roman"/>
    <w:pitch w:val="default"/>
    <w:sig w:usb0="E0000AFF" w:usb1="500078FF" w:usb2="00000021" w:usb3="00000000" w:csb0="600001BF" w:csb1="DFF70000"/>
  </w:font>
  <w:font w:name="SimSun;宋体">
    <w:altName w:val="SimSun"/>
    <w:charset w:val="80"/>
    <w:family w:val="roman"/>
    <w:pitch w:val="default"/>
  </w:font>
  <w:font w:name="Mangal">
    <w:panose1 w:val="00000400000000000000"/>
    <w:charset w:val="00"/>
    <w:family w:val="roman"/>
    <w:pitch w:val="variable"/>
    <w:sig w:usb0="00008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4" w14:textId="77777777" w:rsidR="00431648" w:rsidRDefault="00431648">
    <w:pP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5" w14:textId="77777777" w:rsidR="00431648" w:rsidRDefault="00431648">
    <w:pPr>
      <w:spacing w:line="276" w:lineRule="auto"/>
      <w:rPr>
        <w:color w:val="000000"/>
      </w:rPr>
    </w:pPr>
  </w:p>
  <w:tbl>
    <w:tblPr>
      <w:tblW w:w="10456" w:type="dxa"/>
      <w:tblInd w:w="-108" w:type="dxa"/>
      <w:tblLayout w:type="fixed"/>
      <w:tblLook w:val="04A0" w:firstRow="1" w:lastRow="0" w:firstColumn="1" w:lastColumn="0" w:noHBand="0" w:noVBand="1"/>
    </w:tblPr>
    <w:tblGrid>
      <w:gridCol w:w="3313"/>
      <w:gridCol w:w="1468"/>
      <w:gridCol w:w="5675"/>
    </w:tblGrid>
    <w:tr w:rsidR="00431648" w14:paraId="21B9C0FA" w14:textId="77777777">
      <w:tc>
        <w:tcPr>
          <w:tcW w:w="3313" w:type="dxa"/>
          <w:tcBorders>
            <w:top w:val="single" w:sz="24" w:space="0" w:color="FFFFFF"/>
            <w:left w:val="single" w:sz="4" w:space="0" w:color="FFFFFF"/>
            <w:bottom w:val="single" w:sz="4" w:space="0" w:color="FFFFFF"/>
            <w:right w:val="single" w:sz="4" w:space="0" w:color="FFFFFF"/>
          </w:tcBorders>
        </w:tcPr>
        <w:p w14:paraId="21B9C0F6" w14:textId="77777777" w:rsidR="00431648" w:rsidRDefault="00000000">
          <w:pPr>
            <w:tabs>
              <w:tab w:val="center" w:pos="4252"/>
              <w:tab w:val="right" w:pos="8504"/>
            </w:tabs>
            <w:rPr>
              <w:color w:val="000000"/>
            </w:rPr>
          </w:pPr>
          <w:r>
            <w:rPr>
              <w:noProof/>
            </w:rPr>
            <w:drawing>
              <wp:inline distT="0" distB="0" distL="0" distR="0" wp14:anchorId="21B9C10A" wp14:editId="21B9C10B">
                <wp:extent cx="1967865" cy="473710"/>
                <wp:effectExtent l="0" t="0" r="0" b="0"/>
                <wp:docPr id="16" name="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jpg"/>
                        <pic:cNvPicPr>
                          <a:picLocks noChangeAspect="1" noChangeArrowheads="1"/>
                        </pic:cNvPicPr>
                      </pic:nvPicPr>
                      <pic:blipFill>
                        <a:blip r:embed="rId1"/>
                        <a:stretch>
                          <a:fillRect/>
                        </a:stretch>
                      </pic:blipFill>
                      <pic:spPr>
                        <a:xfrm>
                          <a:off x="0" y="0"/>
                          <a:ext cx="1967865" cy="473710"/>
                        </a:xfrm>
                        <a:prstGeom prst="rect">
                          <a:avLst/>
                        </a:prstGeom>
                      </pic:spPr>
                    </pic:pic>
                  </a:graphicData>
                </a:graphic>
              </wp:inline>
            </w:drawing>
          </w:r>
        </w:p>
      </w:tc>
      <w:tc>
        <w:tcPr>
          <w:tcW w:w="1468" w:type="dxa"/>
          <w:tcBorders>
            <w:top w:val="single" w:sz="24" w:space="0" w:color="FFFFFF"/>
            <w:left w:val="single" w:sz="4" w:space="0" w:color="FFFFFF"/>
            <w:bottom w:val="single" w:sz="4" w:space="0" w:color="FFFFFF"/>
            <w:right w:val="single" w:sz="4" w:space="0" w:color="FFFFFF"/>
          </w:tcBorders>
        </w:tcPr>
        <w:p w14:paraId="21B9C0F7" w14:textId="77777777" w:rsidR="00431648" w:rsidRDefault="00431648">
          <w:pPr>
            <w:tabs>
              <w:tab w:val="center" w:pos="4252"/>
              <w:tab w:val="right" w:pos="8504"/>
            </w:tabs>
            <w:jc w:val="right"/>
            <w:rPr>
              <w:b/>
              <w:color w:val="000000"/>
            </w:rPr>
          </w:pPr>
        </w:p>
      </w:tc>
      <w:tc>
        <w:tcPr>
          <w:tcW w:w="5675" w:type="dxa"/>
          <w:tcBorders>
            <w:top w:val="single" w:sz="4" w:space="0" w:color="000000"/>
            <w:left w:val="single" w:sz="4" w:space="0" w:color="FFFFFF"/>
            <w:bottom w:val="single" w:sz="4" w:space="0" w:color="FFFFFF"/>
            <w:right w:val="single" w:sz="4" w:space="0" w:color="FFFFFF"/>
          </w:tcBorders>
        </w:tcPr>
        <w:p w14:paraId="21B9C0F8" w14:textId="108F1835" w:rsidR="00431648" w:rsidRDefault="00000000">
          <w:pPr>
            <w:tabs>
              <w:tab w:val="center" w:pos="4252"/>
              <w:tab w:val="right" w:pos="8504"/>
            </w:tabs>
            <w:spacing w:line="360" w:lineRule="auto"/>
            <w:ind w:left="-451"/>
            <w:jc w:val="right"/>
            <w:rPr>
              <w:rFonts w:ascii="Times New Roman" w:hAnsi="Times New Roman" w:cs="Times New Roman"/>
              <w:b/>
              <w:color w:val="000000"/>
            </w:rPr>
          </w:pPr>
          <w:r>
            <w:rPr>
              <w:rFonts w:ascii="Times New Roman" w:hAnsi="Times New Roman" w:cs="Times New Roman"/>
              <w:b/>
              <w:color w:val="000000"/>
            </w:rPr>
            <w:t xml:space="preserve">Secretária de Municipal de Saúde </w:t>
          </w:r>
          <w:r w:rsidR="005B6725">
            <w:rPr>
              <w:rFonts w:ascii="Times New Roman" w:hAnsi="Times New Roman" w:cs="Times New Roman"/>
              <w:b/>
              <w:color w:val="000000"/>
            </w:rPr>
            <w:t>- Rondonópolis</w:t>
          </w:r>
          <w:r>
            <w:rPr>
              <w:rFonts w:ascii="Times New Roman" w:hAnsi="Times New Roman" w:cs="Times New Roman"/>
              <w:b/>
              <w:color w:val="000000"/>
            </w:rPr>
            <w:t xml:space="preserve"> – MT</w:t>
          </w:r>
        </w:p>
        <w:p w14:paraId="21B9C0F9" w14:textId="77777777" w:rsidR="00431648" w:rsidRDefault="00000000">
          <w:pPr>
            <w:tabs>
              <w:tab w:val="center" w:pos="4252"/>
              <w:tab w:val="right" w:pos="8504"/>
            </w:tabs>
            <w:spacing w:line="360" w:lineRule="auto"/>
            <w:jc w:val="right"/>
            <w:rPr>
              <w:rFonts w:ascii="Times New Roman" w:hAnsi="Times New Roman" w:cs="Times New Roman"/>
              <w:color w:val="000000"/>
            </w:rPr>
          </w:pPr>
          <w:r>
            <w:rPr>
              <w:rFonts w:ascii="Times New Roman" w:hAnsi="Times New Roman" w:cs="Times New Roman"/>
              <w:color w:val="000000"/>
              <w:sz w:val="18"/>
              <w:szCs w:val="18"/>
            </w:rPr>
            <w:t>Avenida Duque de Caxias, 1000, Vila Aurora, CEP 78740-022.</w:t>
          </w:r>
        </w:p>
      </w:tc>
    </w:tr>
  </w:tbl>
  <w:p w14:paraId="21B9C0FB" w14:textId="77777777" w:rsidR="00431648" w:rsidRDefault="00431648">
    <w:pPr>
      <w:tabs>
        <w:tab w:val="center" w:pos="4252"/>
        <w:tab w:val="right" w:pos="8504"/>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D" w14:textId="77777777" w:rsidR="00431648" w:rsidRDefault="00000000">
    <w:pPr>
      <w:spacing w:line="276" w:lineRule="auto"/>
      <w:rPr>
        <w:color w:val="000000"/>
      </w:rPr>
    </w:pPr>
    <w:r>
      <w:rPr>
        <w:noProof/>
        <w:color w:val="000000"/>
      </w:rPr>
      <mc:AlternateContent>
        <mc:Choice Requires="wps">
          <w:drawing>
            <wp:anchor distT="0" distB="7620" distL="0" distR="0" simplePos="0" relativeHeight="251663360" behindDoc="1" locked="0" layoutInCell="0" allowOverlap="1" wp14:anchorId="21B9C110" wp14:editId="21B9C111">
              <wp:simplePos x="0" y="0"/>
              <wp:positionH relativeFrom="page">
                <wp:posOffset>7143750</wp:posOffset>
              </wp:positionH>
              <wp:positionV relativeFrom="margin">
                <wp:posOffset>5838825</wp:posOffset>
              </wp:positionV>
              <wp:extent cx="419100" cy="1840230"/>
              <wp:effectExtent l="0" t="0" r="0" b="7620"/>
              <wp:wrapNone/>
              <wp:docPr id="17" name="Retângulo 5"/>
              <wp:cNvGraphicFramePr/>
              <a:graphic xmlns:a="http://schemas.openxmlformats.org/drawingml/2006/main">
                <a:graphicData uri="http://schemas.microsoft.com/office/word/2010/wordprocessingShape">
                  <wps:wsp>
                    <wps:cNvSpPr/>
                    <wps:spPr>
                      <a:xfrm>
                        <a:off x="0" y="0"/>
                        <a:ext cx="419040" cy="1840320"/>
                      </a:xfrm>
                      <a:prstGeom prst="rect">
                        <a:avLst/>
                      </a:prstGeom>
                      <a:noFill/>
                      <a:ln w="0">
                        <a:noFill/>
                      </a:ln>
                    </wps:spPr>
                    <wps:style>
                      <a:lnRef idx="0">
                        <a:scrgbClr r="0" g="0" b="0"/>
                      </a:lnRef>
                      <a:fillRef idx="0">
                        <a:scrgbClr r="0" g="0" b="0"/>
                      </a:fillRef>
                      <a:effectRef idx="0">
                        <a:scrgbClr r="0" g="0" b="0"/>
                      </a:effectRef>
                      <a:fontRef idx="minor"/>
                    </wps:style>
                    <wps:txbx>
                      <w:txbxContent>
                        <w:p w14:paraId="21B9C118" w14:textId="77777777" w:rsidR="00431648" w:rsidRDefault="00000000">
                          <w:pPr>
                            <w:pStyle w:val="SemEspaamento"/>
                            <w:rPr>
                              <w:rFonts w:asciiTheme="majorHAnsi" w:eastAsiaTheme="majorEastAsia" w:hAnsiTheme="majorHAnsi" w:cstheme="majorBidi"/>
                              <w:sz w:val="20"/>
                              <w:szCs w:val="44"/>
                              <w:lang w:val="pt-BR"/>
                            </w:rPr>
                          </w:pPr>
                          <w:r>
                            <w:rPr>
                              <w:rFonts w:asciiTheme="majorHAnsi" w:eastAsiaTheme="majorEastAsia" w:hAnsiTheme="majorHAnsi" w:cstheme="majorBidi"/>
                              <w:lang w:val="pt-BR"/>
                            </w:rPr>
                            <w:t>P</w:t>
                          </w:r>
                          <w:r>
                            <w:rPr>
                              <w:rFonts w:asciiTheme="majorHAnsi" w:eastAsiaTheme="majorEastAsia" w:hAnsiTheme="majorHAnsi" w:cstheme="majorBidi"/>
                              <w:sz w:val="20"/>
                              <w:lang w:val="pt-BR"/>
                            </w:rPr>
                            <w:t>ágina</w:t>
                          </w:r>
                          <w:r>
                            <w:rPr>
                              <w:rFonts w:asciiTheme="minorHAnsi" w:eastAsiaTheme="minorEastAsia" w:hAnsiTheme="minorHAnsi" w:cs="Times New Roman"/>
                              <w:sz w:val="20"/>
                              <w:lang w:val="pt-BR"/>
                            </w:rPr>
                            <w:fldChar w:fldCharType="begin"/>
                          </w:r>
                          <w:r>
                            <w:rPr>
                              <w:rFonts w:ascii="Calibri" w:hAnsi="Calibri" w:cs="Times New Roman"/>
                              <w:sz w:val="20"/>
                              <w:lang w:val="pt-BR"/>
                            </w:rPr>
                            <w:instrText xml:space="preserve"> PAGE </w:instrText>
                          </w:r>
                          <w:r>
                            <w:rPr>
                              <w:rFonts w:ascii="Calibri" w:hAnsi="Calibri" w:cs="Times New Roman"/>
                              <w:sz w:val="20"/>
                              <w:lang w:val="pt-BR"/>
                            </w:rPr>
                            <w:fldChar w:fldCharType="separate"/>
                          </w:r>
                          <w:r>
                            <w:rPr>
                              <w:rFonts w:ascii="Calibri" w:hAnsi="Calibri" w:cs="Times New Roman"/>
                              <w:sz w:val="20"/>
                              <w:lang w:val="pt-BR"/>
                            </w:rPr>
                            <w:t>17</w:t>
                          </w:r>
                          <w:r>
                            <w:rPr>
                              <w:rFonts w:ascii="Calibri" w:hAnsi="Calibri" w:cs="Times New Roman"/>
                              <w:sz w:val="20"/>
                              <w:lang w:val="pt-BR"/>
                            </w:rPr>
                            <w:fldChar w:fldCharType="end"/>
                          </w:r>
                        </w:p>
                      </w:txbxContent>
                    </wps:txbx>
                    <wps:bodyPr vert="vert270" anchor="ctr" upright="1">
                      <a:noAutofit/>
                    </wps:bodyPr>
                  </wps:wsp>
                </a:graphicData>
              </a:graphic>
            </wp:anchor>
          </w:drawing>
        </mc:Choice>
        <mc:Fallback>
          <w:pict>
            <v:rect w14:anchorId="21B9C110" id="Retângulo 5" o:spid="_x0000_s1028" style="position:absolute;margin-left:562.5pt;margin-top:459.75pt;width:33pt;height:144.9pt;z-index:-251653120;visibility:visible;mso-wrap-style:square;mso-wrap-distance-left:0;mso-wrap-distance-top:0;mso-wrap-distance-right:0;mso-wrap-distance-bottom:.6pt;mso-position-horizontal:absolute;mso-position-horizontal-relative:page;mso-position-vertical:absolute;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" o:allowincell="f" filled="f" stroked="f" strokeweight="0">
              <v:textbox style="layout-flow:vertical;mso-layout-flow-alt:bottom-to-top">
                <w:txbxContent>
                  <w:p w14:paraId="21B9C118" w14:textId="77777777" w:rsidR="00431648" w:rsidRDefault="00000000">
                    <w:pPr>
                      <w:pStyle w:val="SemEspaamento"/>
                      <w:rPr>
                        <w:rFonts w:asciiTheme="majorHAnsi" w:eastAsiaTheme="majorEastAsia" w:hAnsiTheme="majorHAnsi" w:cstheme="majorBidi"/>
                        <w:sz w:val="20"/>
                        <w:szCs w:val="44"/>
                        <w:lang w:val="pt-BR"/>
                      </w:rPr>
                    </w:pPr>
                    <w:r>
                      <w:rPr>
                        <w:rFonts w:asciiTheme="majorHAnsi" w:eastAsiaTheme="majorEastAsia" w:hAnsiTheme="majorHAnsi" w:cstheme="majorBidi"/>
                        <w:lang w:val="pt-BR"/>
                      </w:rPr>
                      <w:t>P</w:t>
                    </w:r>
                    <w:r>
                      <w:rPr>
                        <w:rFonts w:asciiTheme="majorHAnsi" w:eastAsiaTheme="majorEastAsia" w:hAnsiTheme="majorHAnsi" w:cstheme="majorBidi"/>
                        <w:sz w:val="20"/>
                        <w:lang w:val="pt-BR"/>
                      </w:rPr>
                      <w:t>ágina</w:t>
                    </w:r>
                    <w:r>
                      <w:rPr>
                        <w:rFonts w:asciiTheme="minorHAnsi" w:eastAsiaTheme="minorEastAsia" w:hAnsiTheme="minorHAnsi" w:cs="Times New Roman"/>
                        <w:sz w:val="20"/>
                        <w:lang w:val="pt-BR"/>
                      </w:rPr>
                      <w:fldChar w:fldCharType="begin"/>
                    </w:r>
                    <w:r>
                      <w:rPr>
                        <w:rFonts w:ascii="Calibri" w:hAnsi="Calibri" w:cs="Times New Roman"/>
                        <w:sz w:val="20"/>
                        <w:lang w:val="pt-BR"/>
                      </w:rPr>
                      <w:instrText xml:space="preserve"> PAGE </w:instrText>
                    </w:r>
                    <w:r>
                      <w:rPr>
                        <w:rFonts w:ascii="Calibri" w:hAnsi="Calibri" w:cs="Times New Roman"/>
                        <w:sz w:val="20"/>
                        <w:lang w:val="pt-BR"/>
                      </w:rPr>
                      <w:fldChar w:fldCharType="separate"/>
                    </w:r>
                    <w:r>
                      <w:rPr>
                        <w:rFonts w:ascii="Calibri" w:hAnsi="Calibri" w:cs="Times New Roman"/>
                        <w:sz w:val="20"/>
                        <w:lang w:val="pt-BR"/>
                      </w:rPr>
                      <w:t>17</w:t>
                    </w:r>
                    <w:r>
                      <w:rPr>
                        <w:rFonts w:ascii="Calibri" w:hAnsi="Calibri" w:cs="Times New Roman"/>
                        <w:sz w:val="20"/>
                        <w:lang w:val="pt-BR"/>
                      </w:rPr>
                      <w:fldChar w:fldCharType="end"/>
                    </w:r>
                  </w:p>
                </w:txbxContent>
              </v:textbox>
              <w10:wrap anchorx="page" anchory="margin"/>
            </v:rect>
          </w:pict>
        </mc:Fallback>
      </mc:AlternateContent>
    </w:r>
  </w:p>
  <w:tbl>
    <w:tblPr>
      <w:tblW w:w="10456" w:type="dxa"/>
      <w:tblInd w:w="-108" w:type="dxa"/>
      <w:tblLayout w:type="fixed"/>
      <w:tblLook w:val="04A0" w:firstRow="1" w:lastRow="0" w:firstColumn="1" w:lastColumn="0" w:noHBand="0" w:noVBand="1"/>
    </w:tblPr>
    <w:tblGrid>
      <w:gridCol w:w="3313"/>
      <w:gridCol w:w="1811"/>
      <w:gridCol w:w="5332"/>
    </w:tblGrid>
    <w:tr w:rsidR="00431648" w14:paraId="21B9C102" w14:textId="77777777">
      <w:tc>
        <w:tcPr>
          <w:tcW w:w="3313" w:type="dxa"/>
          <w:tcBorders>
            <w:top w:val="single" w:sz="24" w:space="0" w:color="FFFFFF"/>
            <w:left w:val="single" w:sz="4" w:space="0" w:color="FFFFFF"/>
            <w:bottom w:val="single" w:sz="4" w:space="0" w:color="FFFFFF"/>
            <w:right w:val="single" w:sz="4" w:space="0" w:color="FFFFFF"/>
          </w:tcBorders>
        </w:tcPr>
        <w:p w14:paraId="21B9C0FE" w14:textId="77777777" w:rsidR="00431648" w:rsidRDefault="00000000">
          <w:pPr>
            <w:tabs>
              <w:tab w:val="center" w:pos="4252"/>
              <w:tab w:val="right" w:pos="8504"/>
            </w:tabs>
            <w:rPr>
              <w:color w:val="000000"/>
            </w:rPr>
          </w:pPr>
          <w:r>
            <w:rPr>
              <w:noProof/>
            </w:rPr>
            <w:drawing>
              <wp:inline distT="0" distB="0" distL="0" distR="0" wp14:anchorId="21B9C112" wp14:editId="21B9C113">
                <wp:extent cx="1967865" cy="473710"/>
                <wp:effectExtent l="0" t="0" r="0" b="0"/>
                <wp:docPr id="19" name="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jpg"/>
                        <pic:cNvPicPr>
                          <a:picLocks noChangeAspect="1" noChangeArrowheads="1"/>
                        </pic:cNvPicPr>
                      </pic:nvPicPr>
                      <pic:blipFill>
                        <a:blip r:embed="rId1"/>
                        <a:stretch>
                          <a:fillRect/>
                        </a:stretch>
                      </pic:blipFill>
                      <pic:spPr>
                        <a:xfrm>
                          <a:off x="0" y="0"/>
                          <a:ext cx="1967865" cy="473710"/>
                        </a:xfrm>
                        <a:prstGeom prst="rect">
                          <a:avLst/>
                        </a:prstGeom>
                      </pic:spPr>
                    </pic:pic>
                  </a:graphicData>
                </a:graphic>
              </wp:inline>
            </w:drawing>
          </w:r>
        </w:p>
      </w:tc>
      <w:tc>
        <w:tcPr>
          <w:tcW w:w="1811" w:type="dxa"/>
          <w:tcBorders>
            <w:top w:val="single" w:sz="24" w:space="0" w:color="FFFFFF"/>
            <w:left w:val="single" w:sz="4" w:space="0" w:color="FFFFFF"/>
            <w:bottom w:val="single" w:sz="4" w:space="0" w:color="FFFFFF"/>
            <w:right w:val="single" w:sz="4" w:space="0" w:color="FFFFFF"/>
          </w:tcBorders>
        </w:tcPr>
        <w:p w14:paraId="21B9C0FF" w14:textId="77777777" w:rsidR="00431648" w:rsidRDefault="00431648">
          <w:pPr>
            <w:tabs>
              <w:tab w:val="center" w:pos="4252"/>
              <w:tab w:val="right" w:pos="8504"/>
            </w:tabs>
            <w:jc w:val="right"/>
            <w:rPr>
              <w:b/>
              <w:color w:val="000000"/>
            </w:rPr>
          </w:pPr>
        </w:p>
      </w:tc>
      <w:tc>
        <w:tcPr>
          <w:tcW w:w="5332" w:type="dxa"/>
          <w:tcBorders>
            <w:top w:val="single" w:sz="4" w:space="0" w:color="000000"/>
            <w:left w:val="single" w:sz="4" w:space="0" w:color="FFFFFF"/>
            <w:bottom w:val="single" w:sz="4" w:space="0" w:color="FFFFFF"/>
            <w:right w:val="single" w:sz="4" w:space="0" w:color="FFFFFF"/>
          </w:tcBorders>
        </w:tcPr>
        <w:p w14:paraId="21B9C100" w14:textId="77777777" w:rsidR="00431648" w:rsidRDefault="00000000">
          <w:pPr>
            <w:tabs>
              <w:tab w:val="center" w:pos="4252"/>
              <w:tab w:val="right" w:pos="8504"/>
            </w:tabs>
            <w:jc w:val="right"/>
            <w:rPr>
              <w:b/>
              <w:color w:val="000000"/>
            </w:rPr>
          </w:pPr>
          <w:r>
            <w:rPr>
              <w:b/>
              <w:color w:val="000000"/>
            </w:rPr>
            <w:t>Prefeitura Municipal de Rondonópolis – MT</w:t>
          </w:r>
        </w:p>
        <w:p w14:paraId="21B9C101" w14:textId="77777777" w:rsidR="00431648" w:rsidRDefault="00000000">
          <w:pPr>
            <w:tabs>
              <w:tab w:val="center" w:pos="4252"/>
              <w:tab w:val="right" w:pos="8504"/>
            </w:tabs>
            <w:jc w:val="right"/>
            <w:rPr>
              <w:color w:val="000000"/>
            </w:rPr>
          </w:pPr>
          <w:r>
            <w:rPr>
              <w:color w:val="000000"/>
              <w:sz w:val="18"/>
              <w:szCs w:val="18"/>
            </w:rPr>
            <w:t>Avenida Duque de Caxias, 1000, Vila Aurora, CEP 78740-022.</w:t>
          </w:r>
        </w:p>
      </w:tc>
    </w:tr>
  </w:tbl>
  <w:p w14:paraId="21B9C103" w14:textId="77777777" w:rsidR="00431648" w:rsidRDefault="00431648">
    <w:pP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6AD789" w14:textId="77777777" w:rsidR="008C4E6A" w:rsidRDefault="008C4E6A">
      <w:r>
        <w:separator/>
      </w:r>
    </w:p>
  </w:footnote>
  <w:footnote w:type="continuationSeparator" w:id="0">
    <w:p w14:paraId="0BA9CE97" w14:textId="77777777" w:rsidR="008C4E6A" w:rsidRDefault="008C4E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2" w14:textId="77777777" w:rsidR="00431648" w:rsidRDefault="00000000">
    <w:pPr>
      <w:tabs>
        <w:tab w:val="center" w:pos="4252"/>
        <w:tab w:val="right" w:pos="8504"/>
      </w:tabs>
      <w:rPr>
        <w:color w:val="000000"/>
      </w:rPr>
    </w:pPr>
    <w:r>
      <w:rPr>
        <w:noProof/>
        <w:color w:val="000000"/>
      </w:rPr>
      <w:drawing>
        <wp:anchor distT="0" distB="0" distL="0" distR="0" simplePos="0" relativeHeight="251664384" behindDoc="1" locked="0" layoutInCell="1" allowOverlap="1" wp14:anchorId="21B9C104" wp14:editId="21B9C105">
          <wp:simplePos x="0" y="0"/>
          <wp:positionH relativeFrom="margin">
            <wp:align>center</wp:align>
          </wp:positionH>
          <wp:positionV relativeFrom="margin">
            <wp:align>center</wp:align>
          </wp:positionV>
          <wp:extent cx="4495165" cy="4328160"/>
          <wp:effectExtent l="0" t="0" r="0" b="0"/>
          <wp:wrapNone/>
          <wp:docPr id="7"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png"/>
                  <pic:cNvPicPr>
                    <a:picLocks noChangeAspect="1" noChangeArrowheads="1"/>
                  </pic:cNvPicPr>
                </pic:nvPicPr>
                <pic:blipFill>
                  <a:blip r:embed="rId1"/>
                  <a:stretch>
                    <a:fillRect/>
                  </a:stretch>
                </pic:blipFill>
                <pic:spPr>
                  <a:xfrm>
                    <a:off x="0" y="0"/>
                    <a:ext cx="4495165" cy="432816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3" w14:textId="77777777" w:rsidR="00431648" w:rsidRDefault="00000000">
    <w:pPr>
      <w:tabs>
        <w:tab w:val="center" w:pos="4252"/>
        <w:tab w:val="right" w:pos="8504"/>
      </w:tabs>
      <w:rPr>
        <w:color w:val="000000"/>
      </w:rPr>
    </w:pPr>
    <w:r>
      <w:rPr>
        <w:noProof/>
        <w:color w:val="000000"/>
      </w:rPr>
      <w:drawing>
        <wp:anchor distT="0" distB="0" distL="0" distR="0" simplePos="0" relativeHeight="251659264" behindDoc="1" locked="0" layoutInCell="0" allowOverlap="1" wp14:anchorId="21B9C106" wp14:editId="21B9C107">
          <wp:simplePos x="0" y="0"/>
          <wp:positionH relativeFrom="margin">
            <wp:align>right</wp:align>
          </wp:positionH>
          <wp:positionV relativeFrom="paragraph">
            <wp:posOffset>-1334770</wp:posOffset>
          </wp:positionV>
          <wp:extent cx="6705600" cy="1323975"/>
          <wp:effectExtent l="0" t="0" r="0" b="0"/>
          <wp:wrapNone/>
          <wp:docPr id="8"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png"/>
                  <pic:cNvPicPr>
                    <a:picLocks noChangeAspect="1" noChangeArrowheads="1"/>
                  </pic:cNvPicPr>
                </pic:nvPicPr>
                <pic:blipFill>
                  <a:blip r:embed="rId1"/>
                  <a:stretch>
                    <a:fillRect/>
                  </a:stretch>
                </pic:blipFill>
                <pic:spPr>
                  <a:xfrm>
                    <a:off x="0" y="0"/>
                    <a:ext cx="6705600" cy="1323975"/>
                  </a:xfrm>
                  <a:prstGeom prst="rect">
                    <a:avLst/>
                  </a:prstGeom>
                </pic:spPr>
              </pic:pic>
            </a:graphicData>
          </a:graphic>
        </wp:anchor>
      </w:drawing>
    </w:r>
    <w:r>
      <w:rPr>
        <w:noProof/>
        <w:color w:val="000000"/>
      </w:rPr>
      <mc:AlternateContent>
        <mc:Choice Requires="wps">
          <w:drawing>
            <wp:anchor distT="0" distB="0" distL="0" distR="9525" simplePos="0" relativeHeight="251661312" behindDoc="1" locked="0" layoutInCell="0" allowOverlap="1" wp14:anchorId="21B9C108" wp14:editId="21B9C109">
              <wp:simplePos x="0" y="0"/>
              <wp:positionH relativeFrom="column">
                <wp:posOffset>2841625</wp:posOffset>
              </wp:positionH>
              <wp:positionV relativeFrom="paragraph">
                <wp:posOffset>-1182370</wp:posOffset>
              </wp:positionV>
              <wp:extent cx="3590925" cy="1028700"/>
              <wp:effectExtent l="1270" t="635" r="0" b="635"/>
              <wp:wrapNone/>
              <wp:docPr id="9" name="Retângulo: Cantos Arredondados 10"/>
              <wp:cNvGraphicFramePr/>
              <a:graphic xmlns:a="http://schemas.openxmlformats.org/drawingml/2006/main">
                <a:graphicData uri="http://schemas.microsoft.com/office/word/2010/wordprocessingShape">
                  <wps:wsp>
                    <wps:cNvSpPr/>
                    <wps:spPr>
                      <a:xfrm>
                        <a:off x="0" y="0"/>
                        <a:ext cx="3591000" cy="1028880"/>
                      </a:xfrm>
                      <a:prstGeom prst="roundRect">
                        <a:avLst>
                          <a:gd name="adj" fmla="val 16667"/>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21B9C119" w14:textId="77777777" w:rsidR="00431648" w:rsidRDefault="00000000">
                          <w:pPr>
                            <w:pStyle w:val="Contedodoquadro"/>
                            <w:spacing w:line="276" w:lineRule="auto"/>
                            <w:jc w:val="center"/>
                            <w:rPr>
                              <w:rFonts w:ascii="Times New Roman" w:hAnsi="Times New Roman" w:cs="Times New Roman"/>
                            </w:rPr>
                          </w:pPr>
                          <w:r>
                            <w:rPr>
                              <w:rFonts w:ascii="Times New Roman" w:hAnsi="Times New Roman" w:cs="Times New Roman"/>
                              <w:b/>
                              <w:color w:val="000000"/>
                              <w:sz w:val="24"/>
                            </w:rPr>
                            <w:t>Secretaria Municipal de Saúde</w:t>
                          </w:r>
                        </w:p>
                        <w:p w14:paraId="21B9C11A" w14:textId="77777777" w:rsidR="00431648" w:rsidRDefault="00000000">
                          <w:pPr>
                            <w:pStyle w:val="Contedodoquadro"/>
                            <w:spacing w:line="276" w:lineRule="auto"/>
                            <w:jc w:val="center"/>
                          </w:pPr>
                          <w:r>
                            <w:rPr>
                              <w:rFonts w:ascii="Times New Roman" w:hAnsi="Times New Roman" w:cs="Times New Roman"/>
                              <w:b/>
                              <w:color w:val="000000"/>
                              <w:sz w:val="24"/>
                            </w:rPr>
                            <w:t>ETP – Construção ESF Sagrada Família no Município de Rondonópolis - MT</w:t>
                          </w:r>
                        </w:p>
                      </w:txbxContent>
                    </wps:txbx>
                    <wps:bodyPr anchor="ctr">
                      <a:noAutofit/>
                    </wps:bodyPr>
                  </wps:wsp>
                </a:graphicData>
              </a:graphic>
            </wp:anchor>
          </w:drawing>
        </mc:Choice>
        <mc:Fallback>
          <w:pict>
            <v:roundrect w14:anchorId="21B9C108" id="Retângulo: Cantos Arredondados 10" o:spid="_x0000_s1026" style="position:absolute;margin-left:223.75pt;margin-top:-93.1pt;width:282.75pt;height:81pt;z-index:-251655168;visibility:visible;mso-wrap-style:square;mso-wrap-distance-left:0;mso-wrap-distance-top:0;mso-wrap-distance-right:.75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" o:allowincell="f" stroked="f" strokeweight="0">
              <v:textbox>
                <w:txbxContent>
                  <w:p w14:paraId="21B9C119" w14:textId="77777777" w:rsidR="00431648" w:rsidRDefault="00000000">
                    <w:pPr>
                      <w:pStyle w:val="Contedodoquadro"/>
                      <w:spacing w:line="276" w:lineRule="auto"/>
                      <w:jc w:val="center"/>
                      <w:rPr>
                        <w:rFonts w:ascii="Times New Roman" w:hAnsi="Times New Roman" w:cs="Times New Roman"/>
                      </w:rPr>
                    </w:pPr>
                    <w:r>
                      <w:rPr>
                        <w:rFonts w:ascii="Times New Roman" w:hAnsi="Times New Roman" w:cs="Times New Roman"/>
                        <w:b/>
                        <w:color w:val="000000"/>
                        <w:sz w:val="24"/>
                      </w:rPr>
                      <w:t>Secretaria Municipal de Saúde</w:t>
                    </w:r>
                  </w:p>
                  <w:p w14:paraId="21B9C11A" w14:textId="77777777" w:rsidR="00431648" w:rsidRDefault="00000000">
                    <w:pPr>
                      <w:pStyle w:val="Contedodoquadro"/>
                      <w:spacing w:line="276" w:lineRule="auto"/>
                      <w:jc w:val="center"/>
                    </w:pPr>
                    <w:r>
                      <w:rPr>
                        <w:rFonts w:ascii="Times New Roman" w:hAnsi="Times New Roman" w:cs="Times New Roman"/>
                        <w:b/>
                        <w:color w:val="000000"/>
                        <w:sz w:val="24"/>
                      </w:rPr>
                      <w:t>ETP – Construção ESF Sagrada Família no Município de Rondonópolis - MT</w:t>
                    </w:r>
                  </w:p>
                </w:txbxContent>
              </v:textbox>
            </v:round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C" w14:textId="77777777" w:rsidR="00431648" w:rsidRDefault="00000000">
    <w:pPr>
      <w:tabs>
        <w:tab w:val="center" w:pos="4252"/>
        <w:tab w:val="right" w:pos="8504"/>
      </w:tabs>
      <w:rPr>
        <w:color w:val="000000"/>
      </w:rPr>
    </w:pPr>
    <w:r>
      <w:rPr>
        <w:noProof/>
        <w:color w:val="000000"/>
      </w:rPr>
      <w:drawing>
        <wp:anchor distT="0" distB="0" distL="0" distR="0" simplePos="0" relativeHeight="251660288" behindDoc="1" locked="0" layoutInCell="0" allowOverlap="1" wp14:anchorId="21B9C10C" wp14:editId="21B9C10D">
          <wp:simplePos x="0" y="0"/>
          <wp:positionH relativeFrom="margin">
            <wp:align>right</wp:align>
          </wp:positionH>
          <wp:positionV relativeFrom="paragraph">
            <wp:posOffset>-1334770</wp:posOffset>
          </wp:positionV>
          <wp:extent cx="6705600" cy="1323975"/>
          <wp:effectExtent l="0" t="0" r="0" b="0"/>
          <wp:wrapNone/>
          <wp:docPr id="1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3.png"/>
                  <pic:cNvPicPr>
                    <a:picLocks noChangeAspect="1" noChangeArrowheads="1"/>
                  </pic:cNvPicPr>
                </pic:nvPicPr>
                <pic:blipFill>
                  <a:blip r:embed="rId1"/>
                  <a:stretch>
                    <a:fillRect/>
                  </a:stretch>
                </pic:blipFill>
                <pic:spPr>
                  <a:xfrm>
                    <a:off x="0" y="0"/>
                    <a:ext cx="6705600" cy="1323975"/>
                  </a:xfrm>
                  <a:prstGeom prst="rect">
                    <a:avLst/>
                  </a:prstGeom>
                </pic:spPr>
              </pic:pic>
            </a:graphicData>
          </a:graphic>
        </wp:anchor>
      </w:drawing>
    </w:r>
    <w:r>
      <w:rPr>
        <w:noProof/>
        <w:color w:val="000000"/>
      </w:rPr>
      <mc:AlternateContent>
        <mc:Choice Requires="wps">
          <w:drawing>
            <wp:anchor distT="0" distB="0" distL="0" distR="9525" simplePos="0" relativeHeight="251662336" behindDoc="1" locked="0" layoutInCell="0" allowOverlap="1" wp14:anchorId="21B9C10E" wp14:editId="21B9C10F">
              <wp:simplePos x="0" y="0"/>
              <wp:positionH relativeFrom="column">
                <wp:posOffset>2841625</wp:posOffset>
              </wp:positionH>
              <wp:positionV relativeFrom="paragraph">
                <wp:posOffset>-1182370</wp:posOffset>
              </wp:positionV>
              <wp:extent cx="3590925" cy="1028700"/>
              <wp:effectExtent l="1270" t="635" r="0" b="635"/>
              <wp:wrapNone/>
              <wp:docPr id="12" name="Retângulo: Cantos Arredondados 10"/>
              <wp:cNvGraphicFramePr/>
              <a:graphic xmlns:a="http://schemas.openxmlformats.org/drawingml/2006/main">
                <a:graphicData uri="http://schemas.microsoft.com/office/word/2010/wordprocessingShape">
                  <wps:wsp>
                    <wps:cNvSpPr/>
                    <wps:spPr>
                      <a:xfrm>
                        <a:off x="0" y="0"/>
                        <a:ext cx="3591000" cy="1028880"/>
                      </a:xfrm>
                      <a:prstGeom prst="roundRect">
                        <a:avLst>
                          <a:gd name="adj" fmla="val 16667"/>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21B9C114" w14:textId="77777777" w:rsidR="00431648" w:rsidRDefault="00431648">
                          <w:pPr>
                            <w:pStyle w:val="Contedodoquadro"/>
                            <w:jc w:val="center"/>
                            <w:rPr>
                              <w:b/>
                              <w:color w:val="000000"/>
                              <w:sz w:val="24"/>
                            </w:rPr>
                          </w:pPr>
                        </w:p>
                        <w:p w14:paraId="21B9C115" w14:textId="77777777" w:rsidR="00431648" w:rsidRDefault="00000000">
                          <w:pPr>
                            <w:pStyle w:val="Contedodoquadro"/>
                            <w:jc w:val="center"/>
                          </w:pPr>
                          <w:r>
                            <w:rPr>
                              <w:b/>
                              <w:color w:val="000000"/>
                              <w:sz w:val="24"/>
                            </w:rPr>
                            <w:t>Secretaria Municipal de Infraestrutura</w:t>
                          </w:r>
                        </w:p>
                        <w:p w14:paraId="21B9C116" w14:textId="77777777" w:rsidR="00431648" w:rsidRDefault="00000000">
                          <w:pPr>
                            <w:pStyle w:val="Contedodoquadro"/>
                            <w:jc w:val="center"/>
                          </w:pPr>
                          <w:r>
                            <w:rPr>
                              <w:b/>
                              <w:color w:val="000000"/>
                              <w:sz w:val="24"/>
                            </w:rPr>
                            <w:t>ETP – XXXXXXXXXXXXXXXXXXX</w:t>
                          </w:r>
                        </w:p>
                        <w:p w14:paraId="21B9C117" w14:textId="77777777" w:rsidR="00431648" w:rsidRDefault="00431648">
                          <w:pPr>
                            <w:pStyle w:val="Contedodoquadro"/>
                            <w:jc w:val="center"/>
                          </w:pPr>
                        </w:p>
                      </w:txbxContent>
                    </wps:txbx>
                    <wps:bodyPr anchor="ctr">
                      <a:noAutofit/>
                    </wps:bodyPr>
                  </wps:wsp>
                </a:graphicData>
              </a:graphic>
            </wp:anchor>
          </w:drawing>
        </mc:Choice>
        <mc:Fallback>
          <w:pict>
            <v:roundrect w14:anchorId="21B9C10E" id="_x0000_s1027" style="position:absolute;margin-left:223.75pt;margin-top:-93.1pt;width:282.75pt;height:81pt;z-index:-251654144;visibility:visible;mso-wrap-style:square;mso-wrap-distance-left:0;mso-wrap-distance-top:0;mso-wrap-distance-right:.75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" o:allowincell="f" stroked="f" strokeweight="0">
              <v:textbox>
                <w:txbxContent>
                  <w:p w14:paraId="21B9C114" w14:textId="77777777" w:rsidR="00431648" w:rsidRDefault="00431648">
                    <w:pPr>
                      <w:pStyle w:val="Contedodoquadro"/>
                      <w:jc w:val="center"/>
                      <w:rPr>
                        <w:b/>
                        <w:color w:val="000000"/>
                        <w:sz w:val="24"/>
                      </w:rPr>
                    </w:pPr>
                  </w:p>
                  <w:p w14:paraId="21B9C115" w14:textId="77777777" w:rsidR="00431648" w:rsidRDefault="00000000">
                    <w:pPr>
                      <w:pStyle w:val="Contedodoquadro"/>
                      <w:jc w:val="center"/>
                    </w:pPr>
                    <w:r>
                      <w:rPr>
                        <w:b/>
                        <w:color w:val="000000"/>
                        <w:sz w:val="24"/>
                      </w:rPr>
                      <w:t>Secretaria Municipal de Infraestrutura</w:t>
                    </w:r>
                  </w:p>
                  <w:p w14:paraId="21B9C116" w14:textId="77777777" w:rsidR="00431648" w:rsidRDefault="00000000">
                    <w:pPr>
                      <w:pStyle w:val="Contedodoquadro"/>
                      <w:jc w:val="center"/>
                    </w:pPr>
                    <w:r>
                      <w:rPr>
                        <w:b/>
                        <w:color w:val="000000"/>
                        <w:sz w:val="24"/>
                      </w:rPr>
                      <w:t>ETP – XXXXXXXXXXXXXXXXXXX</w:t>
                    </w:r>
                  </w:p>
                  <w:p w14:paraId="21B9C117" w14:textId="77777777" w:rsidR="00431648" w:rsidRDefault="00431648">
                    <w:pPr>
                      <w:pStyle w:val="Contedodoquadro"/>
                      <w:jc w:val="center"/>
                    </w:pPr>
                  </w:p>
                </w:txbxContent>
              </v:textbox>
            </v:round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F5D59"/>
    <w:multiLevelType w:val="multilevel"/>
    <w:tmpl w:val="054F5D5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30613614"/>
    <w:multiLevelType w:val="multilevel"/>
    <w:tmpl w:val="30613614"/>
    <w:lvl w:ilvl="0">
      <w:start w:val="1"/>
      <w:numFmt w:val="decimal"/>
      <w:pStyle w:val="Nivel01"/>
      <w:lvlText w:val="%1."/>
      <w:lvlJc w:val="left"/>
      <w:pPr>
        <w:tabs>
          <w:tab w:val="left" w:pos="0"/>
        </w:tabs>
        <w:ind w:left="1495" w:hanging="360"/>
      </w:pPr>
      <w:rPr>
        <w:b/>
      </w:rPr>
    </w:lvl>
    <w:lvl w:ilvl="1">
      <w:start w:val="1"/>
      <w:numFmt w:val="decimal"/>
      <w:pStyle w:val="Nivel2-Opcional"/>
      <w:lvlText w:val="%1.%2."/>
      <w:lvlJc w:val="left"/>
      <w:pPr>
        <w:tabs>
          <w:tab w:val="left" w:pos="0"/>
        </w:tabs>
        <w:ind w:left="1709" w:hanging="432"/>
      </w:pPr>
      <w:rPr>
        <w:b w:val="0"/>
        <w:i w:val="0"/>
        <w:strike w:val="0"/>
        <w:dstrike w:val="0"/>
        <w:color w:val="auto"/>
        <w:sz w:val="20"/>
        <w:szCs w:val="20"/>
        <w:u w:val="none"/>
      </w:rPr>
    </w:lvl>
    <w:lvl w:ilvl="2">
      <w:start w:val="1"/>
      <w:numFmt w:val="decimal"/>
      <w:pStyle w:val="Nivel3"/>
      <w:lvlText w:val="%1.%2.%3"/>
      <w:lvlJc w:val="left"/>
      <w:pPr>
        <w:tabs>
          <w:tab w:val="left" w:pos="0"/>
        </w:tabs>
        <w:ind w:left="3624" w:hanging="504"/>
      </w:pPr>
      <w:rPr>
        <w:b w:val="0"/>
        <w:i w:val="0"/>
        <w:strike w:val="0"/>
        <w:dstrike w:val="0"/>
        <w:color w:val="000000" w:themeColor="text1"/>
        <w:sz w:val="20"/>
        <w:szCs w:val="20"/>
      </w:rPr>
    </w:lvl>
    <w:lvl w:ilvl="3">
      <w:start w:val="1"/>
      <w:numFmt w:val="decimal"/>
      <w:lvlText w:val="%1.%2.%3.%4."/>
      <w:lvlJc w:val="left"/>
      <w:pPr>
        <w:tabs>
          <w:tab w:val="left" w:pos="0"/>
        </w:tabs>
        <w:ind w:left="3626" w:hanging="648"/>
      </w:pPr>
    </w:lvl>
    <w:lvl w:ilvl="4">
      <w:start w:val="1"/>
      <w:numFmt w:val="decimal"/>
      <w:lvlText w:val="%1.%2.%3.%4.%5."/>
      <w:lvlJc w:val="left"/>
      <w:pPr>
        <w:tabs>
          <w:tab w:val="left" w:pos="0"/>
        </w:tabs>
        <w:ind w:left="3367" w:hanging="792"/>
      </w:pPr>
    </w:lvl>
    <w:lvl w:ilvl="5">
      <w:start w:val="1"/>
      <w:numFmt w:val="decimal"/>
      <w:lvlText w:val="%1.%2.%3.%4.%5.%6."/>
      <w:lvlJc w:val="left"/>
      <w:pPr>
        <w:tabs>
          <w:tab w:val="left" w:pos="0"/>
        </w:tabs>
        <w:ind w:left="3871" w:hanging="936"/>
      </w:pPr>
    </w:lvl>
    <w:lvl w:ilvl="6">
      <w:start w:val="1"/>
      <w:numFmt w:val="decimal"/>
      <w:lvlText w:val="%1.%2.%3.%4.%5.%6.%7."/>
      <w:lvlJc w:val="left"/>
      <w:pPr>
        <w:tabs>
          <w:tab w:val="left" w:pos="0"/>
        </w:tabs>
        <w:ind w:left="4375" w:hanging="1080"/>
      </w:pPr>
    </w:lvl>
    <w:lvl w:ilvl="7">
      <w:start w:val="1"/>
      <w:numFmt w:val="decimal"/>
      <w:lvlText w:val="%1.%2.%3.%4.%5.%6.%7.%8."/>
      <w:lvlJc w:val="left"/>
      <w:pPr>
        <w:tabs>
          <w:tab w:val="left" w:pos="0"/>
        </w:tabs>
        <w:ind w:left="4879" w:hanging="1224"/>
      </w:pPr>
    </w:lvl>
    <w:lvl w:ilvl="8">
      <w:start w:val="1"/>
      <w:numFmt w:val="decimal"/>
      <w:lvlText w:val="%1.%2.%3.%4.%5.%6.%7.%8.%9."/>
      <w:lvlJc w:val="left"/>
      <w:pPr>
        <w:tabs>
          <w:tab w:val="left" w:pos="0"/>
        </w:tabs>
        <w:ind w:left="5455" w:hanging="1440"/>
      </w:pPr>
    </w:lvl>
  </w:abstractNum>
  <w:abstractNum w:abstractNumId="2" w15:restartNumberingAfterBreak="0">
    <w:nsid w:val="429D3E76"/>
    <w:multiLevelType w:val="multilevel"/>
    <w:tmpl w:val="429D3E7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521E0771"/>
    <w:multiLevelType w:val="multilevel"/>
    <w:tmpl w:val="521E077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 w15:restartNumberingAfterBreak="0">
    <w:nsid w:val="53123259"/>
    <w:multiLevelType w:val="multilevel"/>
    <w:tmpl w:val="5312325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052194946">
    <w:abstractNumId w:val="1"/>
  </w:num>
  <w:num w:numId="2" w16cid:durableId="773287779">
    <w:abstractNumId w:val="0"/>
  </w:num>
  <w:num w:numId="3" w16cid:durableId="219827582">
    <w:abstractNumId w:val="4"/>
  </w:num>
  <w:num w:numId="4" w16cid:durableId="598292425">
    <w:abstractNumId w:val="2"/>
  </w:num>
  <w:num w:numId="5" w16cid:durableId="131737120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106E"/>
    <w:rsid w:val="00010D26"/>
    <w:rsid w:val="00015D87"/>
    <w:rsid w:val="0003292D"/>
    <w:rsid w:val="00033FA9"/>
    <w:rsid w:val="00035E79"/>
    <w:rsid w:val="0003681B"/>
    <w:rsid w:val="000515D9"/>
    <w:rsid w:val="000735EB"/>
    <w:rsid w:val="000847B0"/>
    <w:rsid w:val="000876DC"/>
    <w:rsid w:val="000A0BC5"/>
    <w:rsid w:val="000B1B5A"/>
    <w:rsid w:val="000B1FD5"/>
    <w:rsid w:val="000B4D63"/>
    <w:rsid w:val="000B621F"/>
    <w:rsid w:val="000C35A8"/>
    <w:rsid w:val="000C5851"/>
    <w:rsid w:val="000D3581"/>
    <w:rsid w:val="000D5688"/>
    <w:rsid w:val="00112EEA"/>
    <w:rsid w:val="001204F2"/>
    <w:rsid w:val="00195E9E"/>
    <w:rsid w:val="001965D8"/>
    <w:rsid w:val="001D1419"/>
    <w:rsid w:val="001D352F"/>
    <w:rsid w:val="001D7353"/>
    <w:rsid w:val="001E4746"/>
    <w:rsid w:val="001F07A6"/>
    <w:rsid w:val="001F4C34"/>
    <w:rsid w:val="00200026"/>
    <w:rsid w:val="00207719"/>
    <w:rsid w:val="00211CB2"/>
    <w:rsid w:val="002130A8"/>
    <w:rsid w:val="00221A83"/>
    <w:rsid w:val="002279C5"/>
    <w:rsid w:val="0023195C"/>
    <w:rsid w:val="00243F97"/>
    <w:rsid w:val="002616FE"/>
    <w:rsid w:val="002755C3"/>
    <w:rsid w:val="00284709"/>
    <w:rsid w:val="002C7503"/>
    <w:rsid w:val="002F223D"/>
    <w:rsid w:val="003046F2"/>
    <w:rsid w:val="003172C2"/>
    <w:rsid w:val="00336F9B"/>
    <w:rsid w:val="00340727"/>
    <w:rsid w:val="00342D78"/>
    <w:rsid w:val="00346013"/>
    <w:rsid w:val="00375082"/>
    <w:rsid w:val="00376018"/>
    <w:rsid w:val="00386C7A"/>
    <w:rsid w:val="00396D82"/>
    <w:rsid w:val="003A02D0"/>
    <w:rsid w:val="003A5CDA"/>
    <w:rsid w:val="003B0405"/>
    <w:rsid w:val="003B422D"/>
    <w:rsid w:val="003B4BE6"/>
    <w:rsid w:val="003B76DB"/>
    <w:rsid w:val="003C0CA3"/>
    <w:rsid w:val="003E6844"/>
    <w:rsid w:val="003F6C55"/>
    <w:rsid w:val="00421959"/>
    <w:rsid w:val="00431648"/>
    <w:rsid w:val="0043278F"/>
    <w:rsid w:val="00433A84"/>
    <w:rsid w:val="0045695E"/>
    <w:rsid w:val="004662A4"/>
    <w:rsid w:val="004730E1"/>
    <w:rsid w:val="0047581C"/>
    <w:rsid w:val="004A7EBD"/>
    <w:rsid w:val="004C3D17"/>
    <w:rsid w:val="004F369E"/>
    <w:rsid w:val="004F478C"/>
    <w:rsid w:val="004F7B33"/>
    <w:rsid w:val="00541351"/>
    <w:rsid w:val="005422FF"/>
    <w:rsid w:val="0055172B"/>
    <w:rsid w:val="00582A33"/>
    <w:rsid w:val="005A61ED"/>
    <w:rsid w:val="005A6DC4"/>
    <w:rsid w:val="005B6725"/>
    <w:rsid w:val="005C0F55"/>
    <w:rsid w:val="005D13BB"/>
    <w:rsid w:val="005D2AB1"/>
    <w:rsid w:val="005E1F1C"/>
    <w:rsid w:val="005E5FB3"/>
    <w:rsid w:val="005F1265"/>
    <w:rsid w:val="0060014C"/>
    <w:rsid w:val="00600ECB"/>
    <w:rsid w:val="0063170B"/>
    <w:rsid w:val="0063783D"/>
    <w:rsid w:val="00651198"/>
    <w:rsid w:val="00652BE5"/>
    <w:rsid w:val="00664BD9"/>
    <w:rsid w:val="006818C3"/>
    <w:rsid w:val="00682088"/>
    <w:rsid w:val="006903B8"/>
    <w:rsid w:val="00691D99"/>
    <w:rsid w:val="00692BE3"/>
    <w:rsid w:val="006B0988"/>
    <w:rsid w:val="006B31A3"/>
    <w:rsid w:val="006B4915"/>
    <w:rsid w:val="006B5C70"/>
    <w:rsid w:val="006C30EF"/>
    <w:rsid w:val="006C5473"/>
    <w:rsid w:val="006C6F44"/>
    <w:rsid w:val="006C74EE"/>
    <w:rsid w:val="006F744B"/>
    <w:rsid w:val="00704CB5"/>
    <w:rsid w:val="007070F0"/>
    <w:rsid w:val="00723456"/>
    <w:rsid w:val="00723476"/>
    <w:rsid w:val="007259E1"/>
    <w:rsid w:val="00726F10"/>
    <w:rsid w:val="00765A63"/>
    <w:rsid w:val="00773C2F"/>
    <w:rsid w:val="00782138"/>
    <w:rsid w:val="007863C0"/>
    <w:rsid w:val="00792369"/>
    <w:rsid w:val="007C0266"/>
    <w:rsid w:val="00805256"/>
    <w:rsid w:val="00843D0C"/>
    <w:rsid w:val="00852A93"/>
    <w:rsid w:val="008708A2"/>
    <w:rsid w:val="0087387C"/>
    <w:rsid w:val="00884300"/>
    <w:rsid w:val="00894981"/>
    <w:rsid w:val="0089737E"/>
    <w:rsid w:val="008B2E7E"/>
    <w:rsid w:val="008B4CDD"/>
    <w:rsid w:val="008C4E6A"/>
    <w:rsid w:val="008D37CF"/>
    <w:rsid w:val="008E5351"/>
    <w:rsid w:val="008F22B5"/>
    <w:rsid w:val="008F4945"/>
    <w:rsid w:val="008F64FE"/>
    <w:rsid w:val="00905347"/>
    <w:rsid w:val="00906D08"/>
    <w:rsid w:val="00911382"/>
    <w:rsid w:val="009225E1"/>
    <w:rsid w:val="0093361A"/>
    <w:rsid w:val="0093745A"/>
    <w:rsid w:val="00940C2E"/>
    <w:rsid w:val="00953B74"/>
    <w:rsid w:val="00956369"/>
    <w:rsid w:val="00980CD7"/>
    <w:rsid w:val="00981FD8"/>
    <w:rsid w:val="00997B1F"/>
    <w:rsid w:val="009A1C29"/>
    <w:rsid w:val="009A32B8"/>
    <w:rsid w:val="009A70AD"/>
    <w:rsid w:val="009B0EB5"/>
    <w:rsid w:val="009B3C5A"/>
    <w:rsid w:val="009E330C"/>
    <w:rsid w:val="009F03BB"/>
    <w:rsid w:val="00A05487"/>
    <w:rsid w:val="00A13758"/>
    <w:rsid w:val="00A26829"/>
    <w:rsid w:val="00A331C6"/>
    <w:rsid w:val="00A3640C"/>
    <w:rsid w:val="00A45DCE"/>
    <w:rsid w:val="00A72804"/>
    <w:rsid w:val="00A73B3F"/>
    <w:rsid w:val="00A83A82"/>
    <w:rsid w:val="00A91772"/>
    <w:rsid w:val="00AA5208"/>
    <w:rsid w:val="00AB77E3"/>
    <w:rsid w:val="00AC546A"/>
    <w:rsid w:val="00AD694C"/>
    <w:rsid w:val="00AE61A0"/>
    <w:rsid w:val="00AE7468"/>
    <w:rsid w:val="00B052DB"/>
    <w:rsid w:val="00B1639A"/>
    <w:rsid w:val="00B45D7C"/>
    <w:rsid w:val="00B6296F"/>
    <w:rsid w:val="00B74AA0"/>
    <w:rsid w:val="00B82C3D"/>
    <w:rsid w:val="00B96B67"/>
    <w:rsid w:val="00BA64FE"/>
    <w:rsid w:val="00BC6018"/>
    <w:rsid w:val="00BE1C58"/>
    <w:rsid w:val="00BF3DFB"/>
    <w:rsid w:val="00C46300"/>
    <w:rsid w:val="00C551B0"/>
    <w:rsid w:val="00C73501"/>
    <w:rsid w:val="00C90EF5"/>
    <w:rsid w:val="00C936CB"/>
    <w:rsid w:val="00CB30E4"/>
    <w:rsid w:val="00CB6FD1"/>
    <w:rsid w:val="00CC2A41"/>
    <w:rsid w:val="00CE22CB"/>
    <w:rsid w:val="00CF1B46"/>
    <w:rsid w:val="00D22949"/>
    <w:rsid w:val="00D559FD"/>
    <w:rsid w:val="00D6106E"/>
    <w:rsid w:val="00DD1F8E"/>
    <w:rsid w:val="00E27BB5"/>
    <w:rsid w:val="00E37F44"/>
    <w:rsid w:val="00E56DBC"/>
    <w:rsid w:val="00E8018C"/>
    <w:rsid w:val="00E875E0"/>
    <w:rsid w:val="00EA0B22"/>
    <w:rsid w:val="00EA11E6"/>
    <w:rsid w:val="00EA75E3"/>
    <w:rsid w:val="00EE12B0"/>
    <w:rsid w:val="00EE55DA"/>
    <w:rsid w:val="00EF20C6"/>
    <w:rsid w:val="00F02D2F"/>
    <w:rsid w:val="00F10A4C"/>
    <w:rsid w:val="00F111A5"/>
    <w:rsid w:val="00F116A0"/>
    <w:rsid w:val="00F20131"/>
    <w:rsid w:val="00F24057"/>
    <w:rsid w:val="00F46AD0"/>
    <w:rsid w:val="00F563B8"/>
    <w:rsid w:val="00F60A9E"/>
    <w:rsid w:val="00F81A06"/>
    <w:rsid w:val="00F878FF"/>
    <w:rsid w:val="00F931A6"/>
    <w:rsid w:val="00FC4A6A"/>
    <w:rsid w:val="00FD1334"/>
    <w:rsid w:val="00FD491C"/>
    <w:rsid w:val="52DB5C32"/>
  </w:rsids>
  <m:mathPr>
    <m:mathFont m:val="Cambria Math"/>
    <m:brkBin m:val="before"/>
    <m:brkBinSub m:val="--"/>
    <m:smallFrac m:val="0"/>
    <m:dispDef/>
    <m:lMargin m:val="0"/>
    <m:rMargin m:val="0"/>
    <m:defJc m:val="centerGroup"/>
    <m:wrapIndent m:val="1440"/>
    <m:intLim m:val="subSup"/>
    <m:naryLim m:val="undOvr"/>
  </m:mathPr>
  <w:themeFontLang w:val="pt-BR"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1B9BF89"/>
  <w15:docId w15:val="{304F370E-177F-4EBB-A635-D448CAD82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lsdException w:name="footer" w:unhideWhenUsed="1"/>
    <w:lsdException w:name="index heading" w:uiPriority="0"/>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uiPriority="0"/>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uiPriority="29" w:qFormat="1"/>
    <w:lsdException w:name="Intense Quote" w:uiPriority="3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uppressAutoHyphens/>
    </w:pPr>
    <w:rPr>
      <w:sz w:val="22"/>
      <w:szCs w:val="22"/>
      <w:lang w:eastAsia="en-US"/>
    </w:rPr>
  </w:style>
  <w:style w:type="paragraph" w:styleId="Ttulo1">
    <w:name w:val="heading 1"/>
    <w:basedOn w:val="Normal"/>
    <w:next w:val="Normal"/>
    <w:link w:val="Ttulo1Char"/>
    <w:uiPriority w:val="9"/>
    <w:qFormat/>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semiHidden/>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semiHidden/>
    <w:unhideWhenUsed/>
    <w:qFormat/>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semiHidden/>
    <w:unhideWhenUsed/>
    <w:qFormat/>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iPriority w:val="9"/>
    <w:semiHidden/>
    <w:unhideWhenUsed/>
    <w:qFormat/>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pPr>
      <w:keepNext/>
      <w:keepLines/>
      <w:outlineLvl w:val="7"/>
    </w:pPr>
    <w:rPr>
      <w:rFonts w:eastAsiaTheme="majorEastAsia" w:cstheme="majorBidi"/>
      <w:i/>
      <w:iCs/>
      <w:color w:val="262626" w:themeColor="text1" w:themeTint="D9"/>
    </w:rPr>
  </w:style>
  <w:style w:type="paragraph" w:styleId="Ttulo9">
    <w:name w:val="heading 9"/>
    <w:basedOn w:val="Normal"/>
    <w:next w:val="Normal"/>
    <w:link w:val="Ttulo9Char"/>
    <w:uiPriority w:val="9"/>
    <w:semiHidden/>
    <w:unhideWhenUsed/>
    <w:qFormat/>
    <w:pPr>
      <w:keepNext/>
      <w:keepLines/>
      <w:outlineLvl w:val="8"/>
    </w:pPr>
    <w:rPr>
      <w:rFonts w:eastAsiaTheme="majorEastAsia" w:cstheme="majorBidi"/>
      <w:color w:val="262626" w:themeColor="text1" w:themeTint="D9"/>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Refdecomentrio">
    <w:name w:val="annotation reference"/>
    <w:basedOn w:val="Fontepargpadro"/>
    <w:unhideWhenUsed/>
    <w:qFormat/>
    <w:rPr>
      <w:sz w:val="16"/>
      <w:szCs w:val="16"/>
    </w:rPr>
  </w:style>
  <w:style w:type="character" w:styleId="nfase">
    <w:name w:val="Emphasis"/>
    <w:basedOn w:val="Fontepargpadro"/>
    <w:uiPriority w:val="20"/>
    <w:qFormat/>
    <w:rPr>
      <w:i/>
      <w:iCs/>
    </w:rPr>
  </w:style>
  <w:style w:type="character" w:styleId="Hyperlink">
    <w:name w:val="Hyperlink"/>
    <w:basedOn w:val="Fontepargpadro"/>
    <w:uiPriority w:val="99"/>
    <w:unhideWhenUsed/>
    <w:qFormat/>
    <w:rPr>
      <w:color w:val="0563C1" w:themeColor="hyperlink"/>
      <w:u w:val="single"/>
    </w:rPr>
  </w:style>
  <w:style w:type="character" w:styleId="Nmerodepgina">
    <w:name w:val="page number"/>
    <w:basedOn w:val="Fontepargpadro"/>
    <w:uiPriority w:val="99"/>
    <w:unhideWhenUsed/>
    <w:qFormat/>
  </w:style>
  <w:style w:type="paragraph" w:styleId="Lista">
    <w:name w:val="List"/>
    <w:basedOn w:val="Corpodetexto"/>
  </w:style>
  <w:style w:type="paragraph" w:styleId="Corpodetexto">
    <w:name w:val="Body Text"/>
    <w:basedOn w:val="Normal"/>
    <w:link w:val="CorpodetextoChar"/>
    <w:uiPriority w:val="1"/>
    <w:qFormat/>
    <w:rPr>
      <w:sz w:val="21"/>
      <w:szCs w:val="21"/>
    </w:rPr>
  </w:style>
  <w:style w:type="paragraph" w:styleId="Textodecomentrio">
    <w:name w:val="annotation text"/>
    <w:basedOn w:val="Normal"/>
    <w:link w:val="TextodecomentrioChar"/>
    <w:uiPriority w:val="99"/>
    <w:semiHidden/>
    <w:unhideWhenUsed/>
    <w:qFormat/>
    <w:rPr>
      <w:sz w:val="20"/>
      <w:szCs w:val="20"/>
    </w:rPr>
  </w:style>
  <w:style w:type="paragraph" w:styleId="Ttulo">
    <w:name w:val="Title"/>
    <w:basedOn w:val="Normal"/>
    <w:next w:val="Corpodetexto"/>
    <w:link w:val="TtuloChar"/>
    <w:uiPriority w:val="10"/>
    <w:qFormat/>
    <w:pPr>
      <w:contextualSpacing/>
      <w:outlineLvl w:val="0"/>
    </w:pPr>
    <w:rPr>
      <w:rFonts w:eastAsiaTheme="majorEastAsia" w:cstheme="majorBidi"/>
      <w:b/>
      <w:spacing w:val="-10"/>
      <w:kern w:val="2"/>
      <w:sz w:val="24"/>
      <w:szCs w:val="56"/>
    </w:rPr>
  </w:style>
  <w:style w:type="paragraph" w:styleId="NormalWeb">
    <w:name w:val="Normal (Web)"/>
    <w:basedOn w:val="Normal"/>
    <w:uiPriority w:val="99"/>
    <w:semiHidden/>
    <w:unhideWhenUsed/>
    <w:qFormat/>
    <w:rPr>
      <w:rFonts w:ascii="Times New Roman" w:hAnsi="Times New Roman" w:cs="Times New Roman"/>
      <w:sz w:val="24"/>
      <w:szCs w:val="24"/>
    </w:rPr>
  </w:style>
  <w:style w:type="paragraph" w:styleId="Assinatura">
    <w:name w:val="Signature"/>
    <w:basedOn w:val="Normal"/>
    <w:pPr>
      <w:suppressLineNumbers/>
    </w:pPr>
  </w:style>
  <w:style w:type="paragraph" w:styleId="Ttulodendiceremissivo">
    <w:name w:val="index heading"/>
    <w:basedOn w:val="Ttulo"/>
  </w:style>
  <w:style w:type="paragraph" w:styleId="Cabealho">
    <w:name w:val="header"/>
    <w:basedOn w:val="Normal"/>
    <w:link w:val="CabealhoChar"/>
    <w:uiPriority w:val="99"/>
    <w:unhideWhenUsed/>
    <w:pPr>
      <w:tabs>
        <w:tab w:val="center" w:pos="4252"/>
        <w:tab w:val="right" w:pos="8504"/>
      </w:tabs>
    </w:pPr>
  </w:style>
  <w:style w:type="paragraph" w:styleId="Rodap">
    <w:name w:val="footer"/>
    <w:basedOn w:val="Normal"/>
    <w:link w:val="RodapChar"/>
    <w:uiPriority w:val="99"/>
    <w:unhideWhenUsed/>
    <w:pPr>
      <w:tabs>
        <w:tab w:val="center" w:pos="4252"/>
        <w:tab w:val="right" w:pos="8504"/>
      </w:tabs>
    </w:pPr>
  </w:style>
  <w:style w:type="paragraph" w:styleId="Legenda">
    <w:name w:val="caption"/>
    <w:basedOn w:val="Normal"/>
    <w:qFormat/>
    <w:pPr>
      <w:suppressLineNumbers/>
      <w:spacing w:before="120" w:after="120"/>
    </w:pPr>
    <w:rPr>
      <w:i/>
      <w:iCs/>
      <w:sz w:val="24"/>
      <w:szCs w:val="24"/>
    </w:rPr>
  </w:style>
  <w:style w:type="paragraph" w:styleId="Subttulo">
    <w:name w:val="Subtitle"/>
    <w:basedOn w:val="Normal"/>
    <w:next w:val="Normal"/>
    <w:link w:val="SubttuloChar"/>
    <w:uiPriority w:val="11"/>
    <w:qFormat/>
    <w:pPr>
      <w:spacing w:line="360" w:lineRule="auto"/>
      <w:jc w:val="both"/>
      <w:outlineLvl w:val="0"/>
    </w:pPr>
    <w:rPr>
      <w:b/>
      <w:caps/>
      <w:color w:val="000000" w:themeColor="text1"/>
      <w:sz w:val="24"/>
      <w:szCs w:val="28"/>
    </w:rPr>
  </w:style>
  <w:style w:type="paragraph" w:styleId="Sumrio1">
    <w:name w:val="toc 1"/>
    <w:basedOn w:val="Normal"/>
    <w:next w:val="Normal"/>
    <w:autoRedefine/>
    <w:uiPriority w:val="39"/>
    <w:unhideWhenUsed/>
    <w:pPr>
      <w:tabs>
        <w:tab w:val="right" w:leader="dot" w:pos="10366"/>
      </w:tabs>
      <w:spacing w:after="100" w:line="360" w:lineRule="auto"/>
    </w:pPr>
  </w:style>
  <w:style w:type="table" w:styleId="Tabelacomgrade">
    <w:name w:val="Table Grid"/>
    <w:basedOn w:val="Tabelanormal"/>
    <w:uiPriority w:val="39"/>
    <w:qFormat/>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style>
  <w:style w:type="character" w:customStyle="1" w:styleId="Ttulo1Char">
    <w:name w:val="Título 1 Char"/>
    <w:basedOn w:val="Fontepargpadro"/>
    <w:link w:val="Ttulo1"/>
    <w:uiPriority w:val="9"/>
    <w:qFormat/>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semiHidden/>
    <w:qFormat/>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semiHidden/>
    <w:qFormat/>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semiHidden/>
    <w:qFormat/>
    <w:rPr>
      <w:rFonts w:eastAsiaTheme="majorEastAsia" w:cstheme="majorBidi"/>
      <w:i/>
      <w:iCs/>
      <w:color w:val="2F5496" w:themeColor="accent1" w:themeShade="BF"/>
    </w:rPr>
  </w:style>
  <w:style w:type="character" w:customStyle="1" w:styleId="Ttulo5Char">
    <w:name w:val="Título 5 Char"/>
    <w:basedOn w:val="Fontepargpadro"/>
    <w:link w:val="Ttulo5"/>
    <w:uiPriority w:val="9"/>
    <w:semiHidden/>
    <w:qFormat/>
    <w:rPr>
      <w:rFonts w:eastAsiaTheme="majorEastAsia" w:cstheme="majorBidi"/>
      <w:color w:val="2F5496" w:themeColor="accent1" w:themeShade="BF"/>
    </w:rPr>
  </w:style>
  <w:style w:type="character" w:customStyle="1" w:styleId="Ttulo6Char">
    <w:name w:val="Título 6 Char"/>
    <w:basedOn w:val="Fontepargpadro"/>
    <w:link w:val="Ttulo6"/>
    <w:uiPriority w:val="9"/>
    <w:semiHidden/>
    <w:qFormat/>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qFormat/>
    <w:rPr>
      <w:rFonts w:eastAsiaTheme="majorEastAsia" w:cstheme="majorBidi"/>
      <w:color w:val="595959" w:themeColor="text1" w:themeTint="A6"/>
    </w:rPr>
  </w:style>
  <w:style w:type="character" w:customStyle="1" w:styleId="Ttulo8Char">
    <w:name w:val="Título 8 Char"/>
    <w:basedOn w:val="Fontepargpadro"/>
    <w:link w:val="Ttulo8"/>
    <w:uiPriority w:val="9"/>
    <w:semiHidden/>
    <w:qFormat/>
    <w:rPr>
      <w:rFonts w:eastAsiaTheme="majorEastAsia" w:cstheme="majorBidi"/>
      <w:i/>
      <w:iCs/>
      <w:color w:val="262626" w:themeColor="text1" w:themeTint="D9"/>
    </w:rPr>
  </w:style>
  <w:style w:type="character" w:customStyle="1" w:styleId="Ttulo9Char">
    <w:name w:val="Título 9 Char"/>
    <w:basedOn w:val="Fontepargpadro"/>
    <w:link w:val="Ttulo9"/>
    <w:uiPriority w:val="9"/>
    <w:semiHidden/>
    <w:qFormat/>
    <w:rPr>
      <w:rFonts w:eastAsiaTheme="majorEastAsia" w:cstheme="majorBidi"/>
      <w:color w:val="262626" w:themeColor="text1" w:themeTint="D9"/>
    </w:rPr>
  </w:style>
  <w:style w:type="character" w:customStyle="1" w:styleId="TtuloChar">
    <w:name w:val="Título Char"/>
    <w:basedOn w:val="Fontepargpadro"/>
    <w:link w:val="Ttulo"/>
    <w:uiPriority w:val="10"/>
    <w:qFormat/>
    <w:rPr>
      <w:rFonts w:eastAsiaTheme="majorEastAsia" w:cstheme="majorBidi"/>
      <w:b/>
      <w:spacing w:val="-10"/>
      <w:kern w:val="2"/>
      <w:sz w:val="24"/>
      <w:szCs w:val="56"/>
      <w:lang w:eastAsia="en-US"/>
    </w:rPr>
  </w:style>
  <w:style w:type="character" w:customStyle="1" w:styleId="SubttuloChar">
    <w:name w:val="Subtítulo Char"/>
    <w:basedOn w:val="Fontepargpadro"/>
    <w:link w:val="Subttulo"/>
    <w:uiPriority w:val="11"/>
    <w:qFormat/>
    <w:rPr>
      <w:b/>
      <w:caps/>
      <w:color w:val="000000" w:themeColor="text1"/>
      <w:sz w:val="24"/>
      <w:szCs w:val="28"/>
      <w:lang w:val="pt-PT" w:eastAsia="en-US"/>
    </w:rPr>
  </w:style>
  <w:style w:type="character" w:customStyle="1" w:styleId="CitaoChar">
    <w:name w:val="Citação Char"/>
    <w:basedOn w:val="Fontepargpadro"/>
    <w:link w:val="Citao"/>
    <w:uiPriority w:val="29"/>
    <w:qFormat/>
    <w:rPr>
      <w:i/>
      <w:iCs/>
      <w:color w:val="404040" w:themeColor="text1" w:themeTint="BF"/>
    </w:rPr>
  </w:style>
  <w:style w:type="paragraph" w:styleId="Citao">
    <w:name w:val="Quote"/>
    <w:basedOn w:val="Normal"/>
    <w:next w:val="Normal"/>
    <w:link w:val="CitaoChar"/>
    <w:uiPriority w:val="29"/>
    <w:qFormat/>
    <w:pPr>
      <w:spacing w:before="160"/>
      <w:jc w:val="center"/>
    </w:pPr>
    <w:rPr>
      <w:i/>
      <w:iCs/>
      <w:color w:val="404040" w:themeColor="text1" w:themeTint="BF"/>
    </w:rPr>
  </w:style>
  <w:style w:type="character" w:customStyle="1" w:styleId="nfaseIntensa1">
    <w:name w:val="Ênfase Intensa1"/>
    <w:basedOn w:val="Fontepargpadro"/>
    <w:uiPriority w:val="21"/>
    <w:qFormat/>
    <w:rPr>
      <w:i/>
      <w:iCs/>
      <w:color w:val="2F5496" w:themeColor="accent1" w:themeShade="BF"/>
    </w:rPr>
  </w:style>
  <w:style w:type="character" w:customStyle="1" w:styleId="CitaoIntensaChar">
    <w:name w:val="Citação Intensa Char"/>
    <w:basedOn w:val="Fontepargpadro"/>
    <w:link w:val="CitaoIntensa"/>
    <w:uiPriority w:val="30"/>
    <w:qFormat/>
    <w:rPr>
      <w:i/>
      <w:iCs/>
      <w:color w:val="2F5496" w:themeColor="accent1" w:themeShade="BF"/>
    </w:rPr>
  </w:style>
  <w:style w:type="paragraph" w:styleId="CitaoIntensa">
    <w:name w:val="Intense Quote"/>
    <w:basedOn w:val="Normal"/>
    <w:next w:val="Normal"/>
    <w:link w:val="CitaoIntensaChar"/>
    <w:uiPriority w:val="30"/>
    <w:qFormat/>
    <w:pPr>
      <w:pBdr>
        <w:top w:val="single" w:sz="4" w:space="10" w:color="2F5496"/>
        <w:bottom w:val="single" w:sz="4" w:space="10" w:color="2F5496"/>
      </w:pBdr>
      <w:spacing w:before="360" w:after="360"/>
      <w:ind w:left="864" w:right="864"/>
      <w:jc w:val="center"/>
    </w:pPr>
    <w:rPr>
      <w:i/>
      <w:iCs/>
      <w:color w:val="2F5496" w:themeColor="accent1" w:themeShade="BF"/>
    </w:rPr>
  </w:style>
  <w:style w:type="character" w:customStyle="1" w:styleId="RefernciaIntensa1">
    <w:name w:val="Referência Intensa1"/>
    <w:basedOn w:val="Fontepargpadro"/>
    <w:uiPriority w:val="32"/>
    <w:qFormat/>
    <w:rPr>
      <w:b/>
      <w:bCs/>
      <w:smallCaps/>
      <w:color w:val="2F5496" w:themeColor="accent1" w:themeShade="BF"/>
      <w:spacing w:val="5"/>
    </w:rPr>
  </w:style>
  <w:style w:type="character" w:customStyle="1" w:styleId="CabealhoChar">
    <w:name w:val="Cabeçalho Char"/>
    <w:basedOn w:val="Fontepargpadro"/>
    <w:link w:val="Cabealho"/>
    <w:uiPriority w:val="99"/>
    <w:qFormat/>
  </w:style>
  <w:style w:type="character" w:customStyle="1" w:styleId="RodapChar">
    <w:name w:val="Rodapé Char"/>
    <w:basedOn w:val="Fontepargpadro"/>
    <w:link w:val="Rodap"/>
    <w:uiPriority w:val="99"/>
    <w:qFormat/>
  </w:style>
  <w:style w:type="character" w:customStyle="1" w:styleId="CorpodetextoChar">
    <w:name w:val="Corpo de texto Char"/>
    <w:basedOn w:val="Fontepargpadro"/>
    <w:link w:val="Corpodetexto"/>
    <w:uiPriority w:val="1"/>
    <w:qFormat/>
    <w:rPr>
      <w:rFonts w:ascii="Arial" w:eastAsia="Arial" w:hAnsi="Arial" w:cs="Arial"/>
      <w:kern w:val="0"/>
      <w:sz w:val="21"/>
      <w:szCs w:val="21"/>
      <w:lang w:val="pt-PT"/>
    </w:rPr>
  </w:style>
  <w:style w:type="character" w:customStyle="1" w:styleId="LinkdaInternet">
    <w:name w:val="Link da Internet"/>
    <w:basedOn w:val="Fontepargpadro"/>
    <w:uiPriority w:val="99"/>
    <w:unhideWhenUsed/>
    <w:rPr>
      <w:color w:val="0563C1" w:themeColor="hyperlink"/>
      <w:u w:val="single"/>
    </w:rPr>
  </w:style>
  <w:style w:type="character" w:customStyle="1" w:styleId="MenoPendente1">
    <w:name w:val="Menção Pendente1"/>
    <w:basedOn w:val="Fontepargpadro"/>
    <w:uiPriority w:val="99"/>
    <w:semiHidden/>
    <w:unhideWhenUsed/>
    <w:qFormat/>
    <w:rPr>
      <w:color w:val="605E5C"/>
      <w:shd w:val="clear" w:color="auto" w:fill="E1DFDD"/>
    </w:rPr>
  </w:style>
  <w:style w:type="character" w:customStyle="1" w:styleId="Linkdainternetvisitado">
    <w:name w:val="Link da internet visitado"/>
    <w:basedOn w:val="Fontepargpadro"/>
    <w:uiPriority w:val="99"/>
    <w:semiHidden/>
    <w:unhideWhenUsed/>
    <w:rPr>
      <w:color w:val="954F72" w:themeColor="followedHyperlink"/>
      <w:u w:val="single"/>
    </w:rPr>
  </w:style>
  <w:style w:type="character" w:styleId="TextodoEspaoReservado">
    <w:name w:val="Placeholder Text"/>
    <w:basedOn w:val="Fontepargpadro"/>
    <w:uiPriority w:val="99"/>
    <w:semiHidden/>
    <w:qFormat/>
    <w:rPr>
      <w:color w:val="666666"/>
    </w:rPr>
  </w:style>
  <w:style w:type="character" w:customStyle="1" w:styleId="WW8Num30z1">
    <w:name w:val="WW8Num30z1"/>
    <w:qFormat/>
    <w:rPr>
      <w:rFonts w:ascii="Courier New" w:hAnsi="Courier New" w:cs="Courier New"/>
    </w:rPr>
  </w:style>
  <w:style w:type="character" w:customStyle="1" w:styleId="Nvel02Char">
    <w:name w:val="Nível 02 Char"/>
    <w:basedOn w:val="Fontepargpadro"/>
    <w:link w:val="Nvel02"/>
    <w:qFormat/>
    <w:rPr>
      <w:iCs/>
      <w:sz w:val="20"/>
      <w:szCs w:val="20"/>
      <w:lang w:eastAsia="pt-BR"/>
    </w:rPr>
  </w:style>
  <w:style w:type="paragraph" w:customStyle="1" w:styleId="Nvel02">
    <w:name w:val="Nível 02"/>
    <w:basedOn w:val="Nivel2-Opcional"/>
    <w:link w:val="Nvel02Char"/>
    <w:autoRedefine/>
    <w:qFormat/>
    <w:pPr>
      <w:shd w:val="clear" w:color="auto" w:fill="auto"/>
    </w:pPr>
    <w:rPr>
      <w:i w:val="0"/>
      <w:iCs/>
      <w:color w:val="auto"/>
    </w:rPr>
  </w:style>
  <w:style w:type="paragraph" w:customStyle="1" w:styleId="Nivel2-Opcional">
    <w:name w:val="Nivel 2-Opcional"/>
    <w:basedOn w:val="Normal"/>
    <w:autoRedefine/>
    <w:qFormat/>
    <w:pPr>
      <w:widowControl/>
      <w:numPr>
        <w:ilvl w:val="1"/>
        <w:numId w:val="1"/>
      </w:numPr>
      <w:shd w:val="clear" w:color="auto" w:fill="7B7B7B" w:themeFill="accent3" w:themeFillShade="BF"/>
      <w:suppressAutoHyphens w:val="0"/>
      <w:spacing w:before="120" w:after="120" w:line="276" w:lineRule="auto"/>
      <w:ind w:left="0" w:firstLine="0"/>
      <w:jc w:val="both"/>
    </w:pPr>
    <w:rPr>
      <w:i/>
      <w:color w:val="FF0000"/>
      <w:sz w:val="20"/>
      <w:szCs w:val="20"/>
      <w:lang w:eastAsia="pt-BR"/>
    </w:rPr>
  </w:style>
  <w:style w:type="character" w:customStyle="1" w:styleId="TextodecomentrioChar">
    <w:name w:val="Texto de comentário Char"/>
    <w:basedOn w:val="Fontepargpadro"/>
    <w:link w:val="Textodecomentrio"/>
    <w:uiPriority w:val="99"/>
    <w:semiHidden/>
    <w:qFormat/>
    <w:rPr>
      <w:sz w:val="20"/>
      <w:szCs w:val="20"/>
      <w:lang w:eastAsia="en-US"/>
    </w:rPr>
  </w:style>
  <w:style w:type="character" w:customStyle="1" w:styleId="Vnculodendice">
    <w:name w:val="Vínculo de índice"/>
    <w:qFormat/>
  </w:style>
  <w:style w:type="character" w:customStyle="1" w:styleId="nfaseforte">
    <w:name w:val="Ênfase forte"/>
    <w:qFormat/>
    <w:rPr>
      <w:b/>
      <w:bCs/>
    </w:rPr>
  </w:style>
  <w:style w:type="paragraph" w:customStyle="1" w:styleId="ndice">
    <w:name w:val="Índice"/>
    <w:basedOn w:val="Normal"/>
    <w:qFormat/>
    <w:pPr>
      <w:suppressLineNumbers/>
    </w:pPr>
  </w:style>
  <w:style w:type="paragraph" w:styleId="PargrafodaLista">
    <w:name w:val="List Paragraph"/>
    <w:basedOn w:val="Normal"/>
    <w:uiPriority w:val="34"/>
    <w:qFormat/>
    <w:pPr>
      <w:ind w:left="720"/>
      <w:contextualSpacing/>
    </w:pPr>
  </w:style>
  <w:style w:type="paragraph" w:customStyle="1" w:styleId="CabealhoeRodap">
    <w:name w:val="Cabeçalho e Rodapé"/>
    <w:basedOn w:val="Normal"/>
    <w:qFormat/>
  </w:style>
  <w:style w:type="paragraph" w:customStyle="1" w:styleId="Reviso1">
    <w:name w:val="Revisão1"/>
    <w:uiPriority w:val="99"/>
    <w:semiHidden/>
    <w:qFormat/>
    <w:pPr>
      <w:suppressAutoHyphens/>
    </w:pPr>
    <w:rPr>
      <w:sz w:val="22"/>
      <w:szCs w:val="22"/>
      <w:lang w:val="pt-PT" w:eastAsia="en-US"/>
    </w:rPr>
  </w:style>
  <w:style w:type="paragraph" w:customStyle="1" w:styleId="Contedodoquadro">
    <w:name w:val="Conteúdo do quadro"/>
    <w:basedOn w:val="Normal"/>
    <w:qFormat/>
  </w:style>
  <w:style w:type="paragraph" w:customStyle="1" w:styleId="Blocodecitao">
    <w:name w:val="Bloco de citação"/>
    <w:basedOn w:val="Normal"/>
    <w:qFormat/>
    <w:pPr>
      <w:spacing w:after="283"/>
      <w:ind w:left="567" w:right="567"/>
    </w:pPr>
  </w:style>
  <w:style w:type="paragraph" w:customStyle="1" w:styleId="Figura">
    <w:name w:val="Figura"/>
    <w:basedOn w:val="Legenda"/>
    <w:qFormat/>
  </w:style>
  <w:style w:type="paragraph" w:customStyle="1" w:styleId="CabealhodoSumrio1">
    <w:name w:val="Cabeçalho do Sumário1"/>
    <w:basedOn w:val="Ttulo1"/>
    <w:next w:val="Normal"/>
    <w:uiPriority w:val="39"/>
    <w:unhideWhenUsed/>
    <w:qFormat/>
    <w:pPr>
      <w:widowControl/>
      <w:suppressAutoHyphens w:val="0"/>
      <w:spacing w:before="240" w:after="0" w:line="259" w:lineRule="auto"/>
      <w:outlineLvl w:val="9"/>
    </w:pPr>
    <w:rPr>
      <w:sz w:val="32"/>
      <w:szCs w:val="32"/>
      <w:lang w:eastAsia="zh-CN"/>
    </w:rPr>
  </w:style>
  <w:style w:type="paragraph" w:styleId="SemEspaamento">
    <w:name w:val="No Spacing"/>
    <w:uiPriority w:val="1"/>
    <w:qFormat/>
    <w:pPr>
      <w:widowControl w:val="0"/>
      <w:suppressAutoHyphens/>
    </w:pPr>
    <w:rPr>
      <w:sz w:val="22"/>
      <w:szCs w:val="22"/>
      <w:lang w:val="pt-PT" w:eastAsia="en-US"/>
    </w:rPr>
  </w:style>
  <w:style w:type="paragraph" w:customStyle="1" w:styleId="Estilo2">
    <w:name w:val="Estilo2"/>
    <w:basedOn w:val="Normal"/>
    <w:qFormat/>
    <w:pPr>
      <w:widowControl/>
      <w:ind w:left="2694" w:hanging="284"/>
      <w:jc w:val="both"/>
    </w:pPr>
    <w:rPr>
      <w:rFonts w:ascii="Times New Roman" w:eastAsia="Times New Roman" w:hAnsi="Times New Roman" w:cs="Times New Roman"/>
      <w:color w:val="000000"/>
      <w:sz w:val="24"/>
      <w:szCs w:val="20"/>
      <w:lang w:eastAsia="zh-CN"/>
    </w:rPr>
  </w:style>
  <w:style w:type="paragraph" w:customStyle="1" w:styleId="Nivel01">
    <w:name w:val="Nivel 01"/>
    <w:basedOn w:val="PargrafodaLista"/>
    <w:next w:val="Normal"/>
    <w:autoRedefine/>
    <w:qFormat/>
    <w:pPr>
      <w:widowControl/>
      <w:numPr>
        <w:numId w:val="1"/>
      </w:numPr>
      <w:suppressAutoHyphens w:val="0"/>
      <w:spacing w:before="360" w:after="120" w:line="276" w:lineRule="auto"/>
      <w:ind w:left="357" w:hanging="357"/>
      <w:contextualSpacing w:val="0"/>
      <w:jc w:val="both"/>
      <w:outlineLvl w:val="0"/>
    </w:pPr>
    <w:rPr>
      <w:b/>
      <w:iCs/>
      <w:sz w:val="20"/>
      <w:szCs w:val="20"/>
      <w:lang w:eastAsia="pt-BR"/>
    </w:rPr>
  </w:style>
  <w:style w:type="paragraph" w:customStyle="1" w:styleId="Nivel5">
    <w:name w:val="Nivel 5"/>
    <w:basedOn w:val="Nvel4-R"/>
    <w:autoRedefine/>
    <w:qFormat/>
    <w:pPr>
      <w:ind w:left="851"/>
    </w:pPr>
  </w:style>
  <w:style w:type="paragraph" w:customStyle="1" w:styleId="Nvel4-R">
    <w:name w:val="Nível 4-R"/>
    <w:basedOn w:val="Normal"/>
    <w:autoRedefine/>
    <w:qFormat/>
    <w:pPr>
      <w:widowControl/>
      <w:tabs>
        <w:tab w:val="left" w:pos="0"/>
      </w:tabs>
      <w:suppressAutoHyphens w:val="0"/>
      <w:spacing w:before="120" w:after="120" w:line="276" w:lineRule="auto"/>
      <w:ind w:left="567"/>
      <w:jc w:val="both"/>
    </w:pPr>
    <w:rPr>
      <w:rFonts w:eastAsiaTheme="minorEastAsia"/>
      <w:bCs/>
      <w:i/>
      <w:color w:val="FF0000"/>
      <w:sz w:val="20"/>
      <w:szCs w:val="20"/>
      <w:lang w:eastAsia="pt-BR"/>
    </w:rPr>
  </w:style>
  <w:style w:type="paragraph" w:customStyle="1" w:styleId="Nivel3">
    <w:name w:val="Nivel 3"/>
    <w:basedOn w:val="Normal"/>
    <w:qFormat/>
    <w:pPr>
      <w:widowControl/>
      <w:numPr>
        <w:ilvl w:val="2"/>
        <w:numId w:val="1"/>
      </w:numPr>
      <w:suppressAutoHyphens w:val="0"/>
      <w:spacing w:before="120" w:after="120" w:line="276" w:lineRule="auto"/>
      <w:ind w:left="284" w:firstLine="0"/>
      <w:jc w:val="both"/>
    </w:pPr>
    <w:rPr>
      <w:rFonts w:eastAsiaTheme="minorEastAsia" w:cs="Tahoma"/>
      <w:sz w:val="20"/>
      <w:szCs w:val="24"/>
      <w:lang w:eastAsia="pt-BR"/>
    </w:rPr>
  </w:style>
  <w:style w:type="paragraph" w:customStyle="1" w:styleId="Textodecomentrio1">
    <w:name w:val="Texto de comentário1"/>
    <w:basedOn w:val="Normal"/>
    <w:next w:val="Textodecomentrio"/>
    <w:uiPriority w:val="99"/>
    <w:unhideWhenUsed/>
    <w:qFormat/>
    <w:pPr>
      <w:widowControl/>
      <w:suppressAutoHyphens w:val="0"/>
    </w:pPr>
    <w:rPr>
      <w:rFonts w:ascii="Ecofont_Spranq_eco_Sans" w:eastAsia="Calibri" w:hAnsi="Ecofont_Spranq_eco_Sans" w:cs="Tahoma"/>
      <w:kern w:val="2"/>
      <w:lang w:eastAsia="pt-BR"/>
    </w:rPr>
  </w:style>
  <w:style w:type="table" w:customStyle="1" w:styleId="TableNormal">
    <w:name w:val="Table Normal"/>
    <w:qFormat/>
    <w:tblPr>
      <w:tblCellMar>
        <w:top w:w="0" w:type="dxa"/>
        <w:left w:w="0" w:type="dxa"/>
        <w:bottom w:w="0" w:type="dxa"/>
        <w:right w:w="0" w:type="dxa"/>
      </w:tblCellMar>
    </w:tblPr>
  </w:style>
  <w:style w:type="table" w:customStyle="1" w:styleId="Estilo1">
    <w:name w:val="Estilo1"/>
    <w:basedOn w:val="Tabelanormal"/>
    <w:uiPriority w:val="99"/>
    <w:qFormat/>
    <w:tblPr/>
  </w:style>
  <w:style w:type="table" w:customStyle="1" w:styleId="TabeladeGradeClara1">
    <w:name w:val="Tabela de Grade Clara1"/>
    <w:basedOn w:val="Tabela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paragraph" w:customStyle="1" w:styleId="Standard">
    <w:name w:val="Standard"/>
    <w:qFormat/>
    <w:pPr>
      <w:suppressAutoHyphens/>
      <w:textAlignment w:val="baseline"/>
    </w:pPr>
    <w:rPr>
      <w:rFonts w:ascii="Liberation Serif" w:eastAsia="SimSun;宋体" w:hAnsi="Liberation Serif" w:cs="Mangal"/>
      <w:kern w:val="2"/>
      <w:sz w:val="24"/>
      <w:szCs w:val="24"/>
      <w:lang w:val="en-US"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leismunicipais.com.br/a/mt/r/rondonopolis/decreto/2023/1169/11685/decreto-n-11685-2023-regulamenta-no-ambito-da-administracao-publica-direta-do-municipio-de-rondonopolis-mt-a-lei-n-14133-de-01-de-abril-de-2021-que-estabelece-normas-gerais-de-licitacao-e-contratacao-para-as-administracoes-publicas-diretas-autarquicas-e-fundacionais-da-uniao-dos-estados-do-distrito-federal-e-dos-municipios-e-da-outras-providencias"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planalto.gov.br/ccivil_03/_ato2019-2022/2021/lei/l14133.htm"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tB7Duox5Oja++z+Y4QuteTuN+Rg==">CgMxLjA4AHIhMTl0Sm81dktIbUhXUUYzelJ2ekduYWp1c0pzY2NRYWNK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50A68D6-58EB-4B89-8027-F98D0A695008}">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1384</TotalTime>
  <Pages>16</Pages>
  <Words>4857</Words>
  <Characters>26230</Characters>
  <Application>Microsoft Office Word</Application>
  <DocSecurity>0</DocSecurity>
  <Lines>218</Lines>
  <Paragraphs>62</Paragraphs>
  <ScaleCrop>false</ScaleCrop>
  <Company/>
  <LinksUpToDate>false</LinksUpToDate>
  <CharactersWithSpaces>31025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Av. Duque de Caxias, n°526, Vila Aurora Fone (66) 3411-5731    CEP 78740-100 – Rondonópolis/MT wEBSwww.rondonopolis.mt.gov.b</dc:creator>
  <cp:lastModifiedBy>Cristian Oliveira Santos</cp:lastModifiedBy>
  <cp:revision>182</cp:revision>
  <cp:lastPrinted>2026-03-05T14:44:00Z</cp:lastPrinted>
  <dcterms:created xsi:type="dcterms:W3CDTF">2025-03-24T11:38:00Z</dcterms:created>
  <dcterms:modified xsi:type="dcterms:W3CDTF">2026-04-14T17:33:00Z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1046-12.2.0.23196</vt:lpwstr>
  </property>
  <property fmtid="{D5CDD505-2E9C-101B-9397-08002B2CF9AE}" pid="3" name="ICV">
    <vt:lpwstr>113BB828EA0A4EEDA8ACA5B35B2852A8_12</vt:lpwstr>
  </property>
</Properties>
</file>